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3B9F" w14:textId="02C41104" w:rsidR="007B66D6" w:rsidRDefault="007B66D6" w:rsidP="007B66D6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u w:val="single"/>
          <w:lang w:bidi="ar-EG"/>
        </w:rPr>
      </w:pPr>
      <w:r w:rsidRPr="00940599">
        <w:rPr>
          <w:noProof/>
          <w:rtl/>
        </w:rPr>
        <w:drawing>
          <wp:anchor distT="0" distB="0" distL="114300" distR="114300" simplePos="0" relativeHeight="251662336" behindDoc="1" locked="0" layoutInCell="1" allowOverlap="1" wp14:anchorId="3387CE88" wp14:editId="09F52226">
            <wp:simplePos x="0" y="0"/>
            <wp:positionH relativeFrom="margin">
              <wp:align>left</wp:align>
            </wp:positionH>
            <wp:positionV relativeFrom="paragraph">
              <wp:posOffset>-416689</wp:posOffset>
            </wp:positionV>
            <wp:extent cx="9774199" cy="11664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199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39A9A" w14:textId="2CDDE4D4" w:rsidR="007B66D6" w:rsidRDefault="007B66D6" w:rsidP="007B66D6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u w:val="single"/>
          <w:lang w:bidi="ar-EG"/>
        </w:rPr>
      </w:pPr>
    </w:p>
    <w:p w14:paraId="0ECAF4CD" w14:textId="77777777" w:rsidR="0024700A" w:rsidRDefault="0024700A" w:rsidP="0024700A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u w:val="single"/>
          <w:lang w:bidi="ar-EG"/>
        </w:rPr>
      </w:pPr>
    </w:p>
    <w:p w14:paraId="402ABFAE" w14:textId="2C238F14" w:rsidR="007B66D6" w:rsidRPr="007B66D6" w:rsidRDefault="007B66D6" w:rsidP="007B66D6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4529B0">
        <w:rPr>
          <w:rFonts w:asciiTheme="majorBidi" w:hAnsiTheme="majorBidi" w:cstheme="majorBidi"/>
          <w:b/>
          <w:bCs/>
          <w:color w:val="FF0000"/>
          <w:sz w:val="24"/>
          <w:szCs w:val="24"/>
          <w:u w:val="double"/>
          <w:lang w:bidi="ar-EG"/>
        </w:rPr>
        <w:t xml:space="preserve">Background:                                                                         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Triple-negative breast cancer has a very high rate of recurrence and till now there is no standard of care . Because of the sensitivity of it to platinum compounds and the synergistic effect between bevacizumab and paclitaxel according to many studies </w:t>
      </w:r>
    </w:p>
    <w:p w14:paraId="430847CF" w14:textId="0894222F" w:rsidR="007B66D6" w:rsidRPr="007B66D6" w:rsidRDefault="007B66D6" w:rsidP="007B66D6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4529B0">
        <w:rPr>
          <w:rFonts w:asciiTheme="majorBidi" w:hAnsiTheme="majorBidi" w:cstheme="majorBidi"/>
          <w:sz w:val="24"/>
          <w:szCs w:val="24"/>
          <w:u w:val="double"/>
          <w:lang w:bidi="ar-EG"/>
        </w:rPr>
        <w:t xml:space="preserve"> </w:t>
      </w:r>
      <w:r w:rsidRPr="004529B0">
        <w:rPr>
          <w:rFonts w:asciiTheme="majorBidi" w:hAnsiTheme="majorBidi" w:cstheme="majorBidi"/>
          <w:b/>
          <w:bCs/>
          <w:color w:val="FF0000"/>
          <w:sz w:val="24"/>
          <w:szCs w:val="24"/>
          <w:u w:val="double"/>
          <w:lang w:bidi="ar-EG"/>
        </w:rPr>
        <w:t>Aim of the study :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                                      To combine all these agents to investigate the efficacy of bevacizumab in combination with carboplatin and paclitaxel as first-line treatment in </w:t>
      </w:r>
      <w:proofErr w:type="spellStart"/>
      <w:r w:rsidRPr="007B66D6">
        <w:rPr>
          <w:rFonts w:asciiTheme="majorBidi" w:hAnsiTheme="majorBidi" w:cstheme="majorBidi"/>
          <w:sz w:val="24"/>
          <w:szCs w:val="24"/>
          <w:lang w:bidi="ar-EG"/>
        </w:rPr>
        <w:t>m.TNBC</w:t>
      </w:r>
      <w:proofErr w:type="spellEnd"/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and to predict whom can benefit </w:t>
      </w:r>
      <w:r w:rsidR="00147D2A">
        <w:rPr>
          <w:rFonts w:asciiTheme="majorBidi" w:hAnsiTheme="majorBidi" w:cstheme="majorBidi"/>
          <w:sz w:val="24"/>
          <w:szCs w:val="24"/>
          <w:lang w:bidi="ar-EG"/>
        </w:rPr>
        <w:t xml:space="preserve">the most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>from this combination</w:t>
      </w:r>
    </w:p>
    <w:p w14:paraId="2FB7A29F" w14:textId="6DC01E42" w:rsidR="007B66D6" w:rsidRDefault="007B66D6" w:rsidP="007B66D6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4529B0">
        <w:rPr>
          <w:rFonts w:asciiTheme="majorBidi" w:hAnsiTheme="majorBidi" w:cstheme="majorBidi"/>
          <w:b/>
          <w:bCs/>
          <w:color w:val="FF0000"/>
          <w:sz w:val="24"/>
          <w:szCs w:val="24"/>
          <w:u w:val="double"/>
          <w:lang w:bidi="ar-EG"/>
        </w:rPr>
        <w:t xml:space="preserve">Methods :                                                                 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This prospective phase two study included 54 female patients  diagnosed with </w:t>
      </w:r>
      <w:proofErr w:type="spellStart"/>
      <w:r w:rsidRPr="007B66D6">
        <w:rPr>
          <w:rFonts w:asciiTheme="majorBidi" w:hAnsiTheme="majorBidi" w:cstheme="majorBidi"/>
          <w:sz w:val="24"/>
          <w:szCs w:val="24"/>
          <w:lang w:bidi="ar-EG"/>
        </w:rPr>
        <w:t>m.TNBC</w:t>
      </w:r>
      <w:proofErr w:type="spellEnd"/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at clinical oncology department , Assuit university hospital ,Egypt. forty of them</w:t>
      </w:r>
      <w:r w:rsidR="00147D2A">
        <w:rPr>
          <w:rFonts w:asciiTheme="majorBidi" w:hAnsiTheme="majorBidi" w:cstheme="majorBidi"/>
          <w:sz w:val="24"/>
          <w:szCs w:val="24"/>
          <w:lang w:bidi="ar-EG"/>
        </w:rPr>
        <w:t xml:space="preserve"> were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diagnosed after adjuvant treatment and fourteen as denovo. They received bevacizumab 15 </w:t>
      </w:r>
      <w:proofErr w:type="spellStart"/>
      <w:r w:rsidRPr="007B66D6">
        <w:rPr>
          <w:rFonts w:asciiTheme="majorBidi" w:hAnsiTheme="majorBidi" w:cstheme="majorBidi"/>
          <w:sz w:val="24"/>
          <w:szCs w:val="24"/>
          <w:lang w:bidi="ar-EG"/>
        </w:rPr>
        <w:t>m.g</w:t>
      </w:r>
      <w:proofErr w:type="spellEnd"/>
      <w:r w:rsidRPr="007B66D6">
        <w:rPr>
          <w:rFonts w:asciiTheme="majorBidi" w:hAnsiTheme="majorBidi" w:cstheme="majorBidi"/>
          <w:sz w:val="24"/>
          <w:szCs w:val="24"/>
          <w:lang w:bidi="ar-EG"/>
        </w:rPr>
        <w:t>/ kg + carboplatin AUC 6 + paclitaxel 175m.g/m2 every 21 day for  8 cycles then followed up till data cut off in February 2021</w:t>
      </w:r>
      <w:r w:rsidR="004529B0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  <w:r w:rsidR="00147D2A">
        <w:rPr>
          <w:rFonts w:asciiTheme="majorBidi" w:hAnsiTheme="majorBidi" w:cstheme="majorBidi"/>
          <w:sz w:val="24"/>
          <w:szCs w:val="24"/>
          <w:lang w:bidi="ar-EG"/>
        </w:rPr>
        <w:t xml:space="preserve"> The p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rimary end Point was </w:t>
      </w:r>
      <w:r w:rsidR="004529B0">
        <w:rPr>
          <w:rFonts w:asciiTheme="majorBidi" w:hAnsiTheme="majorBidi" w:cstheme="majorBidi"/>
          <w:sz w:val="24"/>
          <w:szCs w:val="24"/>
          <w:lang w:bidi="ar-EG"/>
        </w:rPr>
        <w:t xml:space="preserve"> 2 year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>PFS</w:t>
      </w:r>
      <w:r w:rsidR="004529B0">
        <w:rPr>
          <w:rFonts w:asciiTheme="majorBidi" w:hAnsiTheme="majorBidi" w:cstheme="majorBidi"/>
          <w:sz w:val="24"/>
          <w:szCs w:val="24"/>
          <w:lang w:bidi="ar-EG"/>
        </w:rPr>
        <w:t xml:space="preserve"> and </w:t>
      </w:r>
      <w:r w:rsidR="00147D2A">
        <w:rPr>
          <w:rFonts w:asciiTheme="majorBidi" w:hAnsiTheme="majorBidi" w:cstheme="majorBidi"/>
          <w:sz w:val="24"/>
          <w:szCs w:val="24"/>
          <w:lang w:bidi="ar-EG"/>
        </w:rPr>
        <w:t xml:space="preserve"> the s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>econdary end point was</w:t>
      </w:r>
      <w:r w:rsidR="004529B0">
        <w:rPr>
          <w:rFonts w:asciiTheme="majorBidi" w:hAnsiTheme="majorBidi" w:cstheme="majorBidi"/>
          <w:sz w:val="24"/>
          <w:szCs w:val="24"/>
          <w:lang w:bidi="ar-EG"/>
        </w:rPr>
        <w:t xml:space="preserve"> 2 year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OS </w:t>
      </w:r>
      <w:r w:rsidR="004529B0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</w:p>
    <w:p w14:paraId="14A0AF07" w14:textId="77777777" w:rsidR="004529B0" w:rsidRPr="007B66D6" w:rsidRDefault="004529B0" w:rsidP="004529B0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14:paraId="3C89DDA3" w14:textId="511E0B72" w:rsidR="007B66D6" w:rsidRPr="00EF52EB" w:rsidRDefault="004529B0" w:rsidP="00EF52EB">
      <w:pPr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EG"/>
        </w:rPr>
      </w:pPr>
      <w:r w:rsidRPr="00EF52EB">
        <w:rPr>
          <w:b/>
          <w:bCs/>
          <w:color w:val="FF0000"/>
        </w:rPr>
        <w:t>heba_bakri@aun.edu.eg</w:t>
      </w:r>
    </w:p>
    <w:p w14:paraId="3540271A" w14:textId="50499009" w:rsidR="007B66D6" w:rsidRPr="007B66D6" w:rsidRDefault="007B66D6" w:rsidP="007B66D6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EG"/>
        </w:rPr>
      </w:pPr>
    </w:p>
    <w:p w14:paraId="2FBC9AB2" w14:textId="344799DE" w:rsidR="007B66D6" w:rsidRPr="007B66D6" w:rsidRDefault="007B66D6" w:rsidP="007B66D6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EG"/>
        </w:rPr>
      </w:pPr>
    </w:p>
    <w:p w14:paraId="58069198" w14:textId="77777777" w:rsidR="0024700A" w:rsidRDefault="0024700A" w:rsidP="0024700A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EG"/>
        </w:rPr>
      </w:pPr>
    </w:p>
    <w:p w14:paraId="32E6801C" w14:textId="44F4E9FE" w:rsidR="007B66D6" w:rsidRPr="007B66D6" w:rsidRDefault="007B66D6" w:rsidP="0024700A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4529B0">
        <w:rPr>
          <w:rFonts w:asciiTheme="majorBidi" w:hAnsiTheme="majorBidi" w:cstheme="majorBidi"/>
          <w:b/>
          <w:bCs/>
          <w:color w:val="FF0000"/>
          <w:sz w:val="24"/>
          <w:szCs w:val="24"/>
          <w:u w:val="double"/>
          <w:lang w:bidi="ar-EG"/>
        </w:rPr>
        <w:t>Results:</w:t>
      </w:r>
      <w:r w:rsidRPr="007B66D6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EG"/>
        </w:rPr>
        <w:t xml:space="preserve">                                                                                    </w:t>
      </w:r>
      <w:r w:rsidRPr="007B66D6">
        <w:rPr>
          <w:rFonts w:asciiTheme="majorBidi" w:hAnsiTheme="majorBidi" w:cstheme="majorBidi"/>
          <w:b/>
          <w:bCs/>
          <w:sz w:val="24"/>
          <w:szCs w:val="24"/>
          <w:lang w:bidi="ar-EG"/>
        </w:rPr>
        <w:t>Final evaluation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was done ; 32 patients were alive</w:t>
      </w:r>
      <w:r w:rsidR="00147D2A">
        <w:rPr>
          <w:rFonts w:asciiTheme="majorBidi" w:hAnsiTheme="majorBidi" w:cstheme="majorBidi"/>
          <w:sz w:val="24"/>
          <w:szCs w:val="24"/>
          <w:lang w:bidi="ar-EG"/>
        </w:rPr>
        <w:t xml:space="preserve"> out of 54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and only 26 out of </w:t>
      </w:r>
      <w:r w:rsidR="00EF52EB">
        <w:rPr>
          <w:rFonts w:asciiTheme="majorBidi" w:hAnsiTheme="majorBidi" w:cstheme="majorBidi"/>
          <w:sz w:val="24"/>
          <w:szCs w:val="24"/>
          <w:lang w:bidi="ar-EG"/>
        </w:rPr>
        <w:t xml:space="preserve">32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>remained in the study .15 ( 57.7 %)</w:t>
      </w:r>
      <w:r w:rsidR="00147D2A">
        <w:rPr>
          <w:rFonts w:asciiTheme="majorBidi" w:hAnsiTheme="majorBidi" w:cstheme="majorBidi"/>
          <w:sz w:val="24"/>
          <w:szCs w:val="24"/>
          <w:lang w:bidi="ar-EG"/>
        </w:rPr>
        <w:t xml:space="preserve"> were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still in CR , 2 ( 7.7%) were PD and 9 ( 34.6 %) SD </w:t>
      </w:r>
      <w:r w:rsidR="00EF52EB">
        <w:rPr>
          <w:rFonts w:asciiTheme="majorBidi" w:hAnsiTheme="majorBidi" w:cstheme="majorBidi"/>
          <w:sz w:val="24"/>
          <w:szCs w:val="24"/>
          <w:lang w:bidi="ar-EG"/>
        </w:rPr>
        <w:t xml:space="preserve">.The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ORR was 57.7 % </w:t>
      </w:r>
      <w:r w:rsidR="00EF52EB">
        <w:rPr>
          <w:rFonts w:asciiTheme="majorBidi" w:hAnsiTheme="majorBidi" w:cstheme="majorBidi"/>
          <w:sz w:val="24"/>
          <w:szCs w:val="24"/>
          <w:lang w:bidi="ar-EG"/>
        </w:rPr>
        <w:t xml:space="preserve"> and the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DCR was  92.3% .  </w:t>
      </w:r>
    </w:p>
    <w:p w14:paraId="4FCD7D8D" w14:textId="70C69136" w:rsidR="007B66D6" w:rsidRPr="007B66D6" w:rsidRDefault="007B66D6" w:rsidP="007B66D6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B66D6">
        <w:rPr>
          <w:rFonts w:asciiTheme="majorBidi" w:hAnsiTheme="majorBidi" w:cstheme="majorBidi"/>
          <w:b/>
          <w:bCs/>
          <w:sz w:val="24"/>
          <w:szCs w:val="24"/>
          <w:lang w:bidi="ar-EG"/>
        </w:rPr>
        <w:t>Median PFS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at 2 years was 27 months with (95 % CI 17.019 - 36.981). By Cox regression both visceral only disease and performance status (PS) 0 had longer PFS compared to other characteristics with  ( HR 0.23, P= 0.05 ) and (HR = 0.16 , P = 0.02) respectively and  C index 0.77</w:t>
      </w:r>
      <w:r w:rsidR="004529B0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195659B9" w14:textId="6A484425" w:rsidR="007B66D6" w:rsidRPr="007B66D6" w:rsidRDefault="007B66D6" w:rsidP="007B66D6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B66D6">
        <w:rPr>
          <w:rFonts w:asciiTheme="majorBidi" w:hAnsiTheme="majorBidi" w:cstheme="majorBidi"/>
          <w:b/>
          <w:bCs/>
          <w:sz w:val="24"/>
          <w:szCs w:val="24"/>
          <w:lang w:bidi="ar-EG"/>
        </w:rPr>
        <w:t>The 2 year median OS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was 55 months ( 95 % CI 38.973 - 71.027 ) . Both  type of presentation either denovo or after adjuvant  treatment and also PS consistently affect OS  (HR = 7.91, P = 0.02) for denovo patients and (HR=0.12 ,P  = 0.01 ) in patients with PS 0  with C index 0.73 in cox regression model. </w:t>
      </w:r>
    </w:p>
    <w:p w14:paraId="20BCDD55" w14:textId="77777777" w:rsidR="007B66D6" w:rsidRPr="007B66D6" w:rsidRDefault="007B66D6" w:rsidP="007B66D6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B66D6">
        <w:rPr>
          <w:rFonts w:asciiTheme="majorBidi" w:hAnsiTheme="majorBidi" w:cstheme="majorBidi"/>
          <w:b/>
          <w:bCs/>
          <w:sz w:val="24"/>
          <w:szCs w:val="24"/>
          <w:lang w:bidi="ar-EG"/>
        </w:rPr>
        <w:t>Three factors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affecting final response to bevacizumab to  gain  either SD or CR by logistic regression test as in </w:t>
      </w:r>
      <w:r w:rsidRPr="007B66D6">
        <w:rPr>
          <w:rFonts w:asciiTheme="majorBidi" w:hAnsiTheme="majorBidi" w:cstheme="majorBidi"/>
          <w:b/>
          <w:bCs/>
          <w:sz w:val="24"/>
          <w:szCs w:val="24"/>
          <w:lang w:bidi="ar-EG"/>
        </w:rPr>
        <w:t>table 1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:                              </w:t>
      </w:r>
    </w:p>
    <w:p w14:paraId="386BA021" w14:textId="77777777" w:rsidR="0024700A" w:rsidRPr="007B66D6" w:rsidRDefault="0024700A" w:rsidP="0024700A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14:paraId="03330F8D" w14:textId="77777777" w:rsidR="007B66D6" w:rsidRDefault="007B66D6" w:rsidP="007B66D6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EG"/>
        </w:rPr>
      </w:pPr>
    </w:p>
    <w:p w14:paraId="5F8F8CAB" w14:textId="716B2A66" w:rsidR="007B66D6" w:rsidRDefault="007B66D6" w:rsidP="007B66D6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EG"/>
        </w:rPr>
      </w:pPr>
    </w:p>
    <w:p w14:paraId="3746833E" w14:textId="3DE6B615" w:rsidR="007B66D6" w:rsidRDefault="007B66D6" w:rsidP="007B66D6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EG"/>
        </w:rPr>
      </w:pPr>
    </w:p>
    <w:p w14:paraId="56E424A9" w14:textId="77777777" w:rsidR="0024700A" w:rsidRDefault="0024700A" w:rsidP="0024700A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EG"/>
        </w:rPr>
      </w:pPr>
    </w:p>
    <w:p w14:paraId="69D75B64" w14:textId="77777777" w:rsidR="007B66D6" w:rsidRDefault="007B66D6" w:rsidP="007B66D6">
      <w:pPr>
        <w:bidi w:val="0"/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EG"/>
        </w:rPr>
      </w:pPr>
    </w:p>
    <w:tbl>
      <w:tblPr>
        <w:tblStyle w:val="TableGrid"/>
        <w:tblW w:w="4888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7"/>
        <w:gridCol w:w="952"/>
        <w:gridCol w:w="640"/>
        <w:gridCol w:w="636"/>
        <w:gridCol w:w="1246"/>
      </w:tblGrid>
      <w:tr w:rsidR="0024700A" w:rsidRPr="00F15094" w14:paraId="15FE0C15" w14:textId="77777777" w:rsidTr="004529B0">
        <w:trPr>
          <w:trHeight w:val="1205"/>
          <w:jc w:val="center"/>
        </w:trPr>
        <w:tc>
          <w:tcPr>
            <w:tcW w:w="1151" w:type="pct"/>
            <w:shd w:val="clear" w:color="auto" w:fill="F7CAAC" w:themeFill="accent2" w:themeFillTint="66"/>
            <w:vAlign w:val="center"/>
          </w:tcPr>
          <w:p w14:paraId="51CD2B5E" w14:textId="77777777" w:rsidR="0024700A" w:rsidRPr="0024700A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F7CAAC" w:themeFill="accent2" w:themeFillTint="66"/>
            <w:vAlign w:val="center"/>
          </w:tcPr>
          <w:p w14:paraId="4705A23E" w14:textId="77777777" w:rsidR="0024700A" w:rsidRPr="0024700A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470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709" w:type="pct"/>
            <w:shd w:val="clear" w:color="auto" w:fill="F7CAAC" w:themeFill="accent2" w:themeFillTint="66"/>
            <w:vAlign w:val="center"/>
          </w:tcPr>
          <w:p w14:paraId="3E2E1058" w14:textId="77777777" w:rsidR="0024700A" w:rsidRPr="0024700A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470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703" w:type="pct"/>
            <w:shd w:val="clear" w:color="auto" w:fill="F7CAAC" w:themeFill="accent2" w:themeFillTint="66"/>
            <w:vAlign w:val="center"/>
          </w:tcPr>
          <w:p w14:paraId="5D77282F" w14:textId="77777777" w:rsidR="00147D2A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470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</w:t>
            </w:r>
            <w:r w:rsidR="00147D2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dds</w:t>
            </w:r>
          </w:p>
          <w:p w14:paraId="0835E86C" w14:textId="65F631FD" w:rsidR="0024700A" w:rsidRPr="0024700A" w:rsidRDefault="0024700A" w:rsidP="00147D2A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470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R</w:t>
            </w:r>
            <w:r w:rsidR="00147D2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atio</w:t>
            </w:r>
          </w:p>
        </w:tc>
        <w:tc>
          <w:tcPr>
            <w:tcW w:w="1381" w:type="pct"/>
            <w:shd w:val="clear" w:color="auto" w:fill="F7CAAC" w:themeFill="accent2" w:themeFillTint="66"/>
            <w:vAlign w:val="center"/>
          </w:tcPr>
          <w:p w14:paraId="172232A8" w14:textId="77777777" w:rsidR="0024700A" w:rsidRPr="0024700A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470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% of correct classification if used to predict</w:t>
            </w:r>
          </w:p>
        </w:tc>
      </w:tr>
      <w:tr w:rsidR="0024700A" w:rsidRPr="00F15094" w14:paraId="6069722F" w14:textId="77777777" w:rsidTr="004529B0">
        <w:trPr>
          <w:trHeight w:val="322"/>
          <w:jc w:val="center"/>
        </w:trPr>
        <w:tc>
          <w:tcPr>
            <w:tcW w:w="1151" w:type="pct"/>
            <w:vMerge w:val="restart"/>
            <w:shd w:val="clear" w:color="auto" w:fill="F7CAAC" w:themeFill="accent2" w:themeFillTint="66"/>
            <w:vAlign w:val="center"/>
          </w:tcPr>
          <w:p w14:paraId="4E224C2F" w14:textId="77777777" w:rsidR="0024700A" w:rsidRPr="0024700A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470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Number of metastatic sites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14D176A7" w14:textId="229D75DD" w:rsidR="0024700A" w:rsidRPr="004529B0" w:rsidRDefault="004529B0" w:rsidP="004529B0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≤ 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2C19466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0.02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766DB95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3.92</w:t>
            </w:r>
          </w:p>
        </w:tc>
        <w:tc>
          <w:tcPr>
            <w:tcW w:w="1381" w:type="pct"/>
            <w:vMerge w:val="restart"/>
            <w:shd w:val="clear" w:color="auto" w:fill="auto"/>
            <w:vAlign w:val="center"/>
          </w:tcPr>
          <w:p w14:paraId="6002A464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64.8</w:t>
            </w:r>
          </w:p>
        </w:tc>
      </w:tr>
      <w:tr w:rsidR="0024700A" w:rsidRPr="00F15094" w14:paraId="1C1F530F" w14:textId="77777777" w:rsidTr="004529B0">
        <w:trPr>
          <w:trHeight w:val="667"/>
          <w:jc w:val="center"/>
        </w:trPr>
        <w:tc>
          <w:tcPr>
            <w:tcW w:w="1151" w:type="pct"/>
            <w:vMerge/>
            <w:shd w:val="clear" w:color="auto" w:fill="F7CAAC" w:themeFill="accent2" w:themeFillTint="66"/>
            <w:vAlign w:val="center"/>
          </w:tcPr>
          <w:p w14:paraId="484E5774" w14:textId="77777777" w:rsidR="0024700A" w:rsidRPr="0024700A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14:paraId="007DE9F1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&gt; 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9846C22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68354D49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  <w:vMerge/>
            <w:shd w:val="clear" w:color="auto" w:fill="auto"/>
            <w:vAlign w:val="center"/>
          </w:tcPr>
          <w:p w14:paraId="5FE2D557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4700A" w:rsidRPr="00F15094" w14:paraId="7A85B57F" w14:textId="77777777" w:rsidTr="004529B0">
        <w:trPr>
          <w:trHeight w:val="548"/>
          <w:jc w:val="center"/>
        </w:trPr>
        <w:tc>
          <w:tcPr>
            <w:tcW w:w="1151" w:type="pct"/>
            <w:vMerge w:val="restart"/>
            <w:shd w:val="clear" w:color="auto" w:fill="F7CAAC" w:themeFill="accent2" w:themeFillTint="66"/>
            <w:vAlign w:val="center"/>
          </w:tcPr>
          <w:p w14:paraId="78C221DD" w14:textId="77777777" w:rsidR="0024700A" w:rsidRPr="0024700A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470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Sites of metastasis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4A9A1D10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Bone only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559B95E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0.101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E291AB9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3.20</w:t>
            </w:r>
          </w:p>
        </w:tc>
        <w:tc>
          <w:tcPr>
            <w:tcW w:w="1381" w:type="pct"/>
            <w:vMerge w:val="restart"/>
            <w:shd w:val="clear" w:color="auto" w:fill="auto"/>
            <w:vAlign w:val="center"/>
          </w:tcPr>
          <w:p w14:paraId="79F3014C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70.4</w:t>
            </w:r>
          </w:p>
        </w:tc>
      </w:tr>
      <w:tr w:rsidR="0024700A" w:rsidRPr="00F15094" w14:paraId="2C516CA0" w14:textId="77777777" w:rsidTr="004529B0">
        <w:trPr>
          <w:trHeight w:val="548"/>
          <w:jc w:val="center"/>
        </w:trPr>
        <w:tc>
          <w:tcPr>
            <w:tcW w:w="1151" w:type="pct"/>
            <w:vMerge/>
            <w:shd w:val="clear" w:color="auto" w:fill="F7CAAC" w:themeFill="accent2" w:themeFillTint="66"/>
            <w:vAlign w:val="center"/>
          </w:tcPr>
          <w:p w14:paraId="7690B0C2" w14:textId="77777777" w:rsidR="0024700A" w:rsidRPr="0024700A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14:paraId="27DA0AC6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Visceral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2DC10FD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0.001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F84A98D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1381" w:type="pct"/>
            <w:vMerge/>
            <w:shd w:val="clear" w:color="auto" w:fill="auto"/>
            <w:vAlign w:val="center"/>
          </w:tcPr>
          <w:p w14:paraId="1F6978F1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4700A" w:rsidRPr="00F15094" w14:paraId="5DA30157" w14:textId="77777777" w:rsidTr="004529B0">
        <w:trPr>
          <w:trHeight w:val="333"/>
          <w:jc w:val="center"/>
        </w:trPr>
        <w:tc>
          <w:tcPr>
            <w:tcW w:w="1151" w:type="pct"/>
            <w:vMerge/>
            <w:shd w:val="clear" w:color="auto" w:fill="F7CAAC" w:themeFill="accent2" w:themeFillTint="66"/>
            <w:vAlign w:val="center"/>
          </w:tcPr>
          <w:p w14:paraId="4AC0FD02" w14:textId="77777777" w:rsidR="0024700A" w:rsidRPr="0024700A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14:paraId="68B7091F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Both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0E5CA78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1A954021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  <w:vMerge/>
            <w:shd w:val="clear" w:color="auto" w:fill="auto"/>
            <w:vAlign w:val="center"/>
          </w:tcPr>
          <w:p w14:paraId="6AC9DFFE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4700A" w:rsidRPr="00F15094" w14:paraId="3F523D5E" w14:textId="77777777" w:rsidTr="004529B0">
        <w:trPr>
          <w:trHeight w:val="537"/>
          <w:jc w:val="center"/>
        </w:trPr>
        <w:tc>
          <w:tcPr>
            <w:tcW w:w="1151" w:type="pct"/>
            <w:vMerge w:val="restart"/>
            <w:shd w:val="clear" w:color="auto" w:fill="F7CAAC" w:themeFill="accent2" w:themeFillTint="66"/>
            <w:vAlign w:val="center"/>
          </w:tcPr>
          <w:p w14:paraId="5177605D" w14:textId="77777777" w:rsidR="0024700A" w:rsidRPr="0024700A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BB8AFFE" w14:textId="77777777" w:rsidR="0024700A" w:rsidRPr="0024700A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470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ECOG-PS</w:t>
            </w:r>
          </w:p>
          <w:p w14:paraId="274485CE" w14:textId="77777777" w:rsidR="0024700A" w:rsidRPr="0024700A" w:rsidRDefault="0024700A" w:rsidP="0024700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14:paraId="0ACE0449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PS 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C870CD5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0.001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4041695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19.50</w:t>
            </w:r>
          </w:p>
        </w:tc>
        <w:tc>
          <w:tcPr>
            <w:tcW w:w="1381" w:type="pct"/>
            <w:vMerge w:val="restart"/>
            <w:shd w:val="clear" w:color="auto" w:fill="auto"/>
            <w:vAlign w:val="center"/>
          </w:tcPr>
          <w:p w14:paraId="2BE30562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70.4</w:t>
            </w:r>
          </w:p>
        </w:tc>
      </w:tr>
      <w:tr w:rsidR="0024700A" w:rsidRPr="00F15094" w14:paraId="419B715A" w14:textId="77777777" w:rsidTr="004529B0">
        <w:trPr>
          <w:trHeight w:val="333"/>
          <w:jc w:val="center"/>
        </w:trPr>
        <w:tc>
          <w:tcPr>
            <w:tcW w:w="1151" w:type="pct"/>
            <w:vMerge/>
            <w:shd w:val="clear" w:color="auto" w:fill="F7CAAC" w:themeFill="accent2" w:themeFillTint="66"/>
            <w:vAlign w:val="center"/>
          </w:tcPr>
          <w:p w14:paraId="510924E6" w14:textId="77777777" w:rsidR="0024700A" w:rsidRPr="00F15094" w:rsidRDefault="0024700A" w:rsidP="0024700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14:paraId="66D97F04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PS 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0EAB922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0.06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7CD30C9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1381" w:type="pct"/>
            <w:vMerge/>
            <w:shd w:val="clear" w:color="auto" w:fill="auto"/>
            <w:vAlign w:val="center"/>
          </w:tcPr>
          <w:p w14:paraId="65D543EB" w14:textId="77777777" w:rsidR="0024700A" w:rsidRPr="00F15094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700A" w:rsidRPr="00F15094" w14:paraId="092A7C26" w14:textId="77777777" w:rsidTr="004529B0">
        <w:trPr>
          <w:trHeight w:val="333"/>
          <w:jc w:val="center"/>
        </w:trPr>
        <w:tc>
          <w:tcPr>
            <w:tcW w:w="1151" w:type="pct"/>
            <w:vMerge/>
            <w:shd w:val="clear" w:color="auto" w:fill="F7CAAC" w:themeFill="accent2" w:themeFillTint="66"/>
            <w:vAlign w:val="center"/>
          </w:tcPr>
          <w:p w14:paraId="03586184" w14:textId="77777777" w:rsidR="0024700A" w:rsidRPr="00F15094" w:rsidRDefault="0024700A" w:rsidP="0024700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14:paraId="70A1B3EE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29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PS 2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680AD65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1188BFF4" w14:textId="77777777" w:rsidR="0024700A" w:rsidRPr="004529B0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pct"/>
            <w:vMerge/>
            <w:shd w:val="clear" w:color="auto" w:fill="auto"/>
            <w:vAlign w:val="center"/>
          </w:tcPr>
          <w:p w14:paraId="4638B953" w14:textId="77777777" w:rsidR="0024700A" w:rsidRPr="00F15094" w:rsidRDefault="0024700A" w:rsidP="0024700A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02D4F94" w14:textId="0045DAB6" w:rsidR="004529B0" w:rsidRDefault="007B66D6" w:rsidP="004529B0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4529B0">
        <w:rPr>
          <w:rFonts w:asciiTheme="majorBidi" w:hAnsiTheme="majorBidi" w:cstheme="majorBidi"/>
          <w:b/>
          <w:bCs/>
          <w:color w:val="FF0000"/>
          <w:sz w:val="24"/>
          <w:szCs w:val="24"/>
          <w:u w:val="double"/>
          <w:lang w:bidi="ar-EG"/>
        </w:rPr>
        <w:t xml:space="preserve">Conclusion : </w:t>
      </w:r>
      <w:r w:rsidRPr="007B66D6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EG"/>
        </w:rPr>
        <w:t xml:space="preserve">                                                               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TNBC </w:t>
      </w:r>
      <w:r w:rsidR="00EF52EB">
        <w:rPr>
          <w:rFonts w:asciiTheme="majorBidi" w:hAnsiTheme="majorBidi" w:cstheme="majorBidi"/>
          <w:sz w:val="24"/>
          <w:szCs w:val="24"/>
          <w:lang w:bidi="ar-EG"/>
        </w:rPr>
        <w:t>is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a challenging interesting area of research to find a standard strategy for improving the patient</w:t>
      </w:r>
      <w:r w:rsidR="00EF52EB">
        <w:rPr>
          <w:rFonts w:asciiTheme="majorBidi" w:hAnsiTheme="majorBidi" w:cstheme="majorBidi"/>
          <w:sz w:val="24"/>
          <w:szCs w:val="24"/>
          <w:lang w:bidi="ar-EG"/>
        </w:rPr>
        <w:t>’s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 survival and quality of life. We concluded that number </w:t>
      </w:r>
      <w:r w:rsidR="00EF52EB">
        <w:rPr>
          <w:rFonts w:asciiTheme="majorBidi" w:hAnsiTheme="majorBidi" w:cstheme="majorBidi"/>
          <w:sz w:val="24"/>
          <w:szCs w:val="24"/>
          <w:lang w:bidi="ar-EG"/>
        </w:rPr>
        <w:t xml:space="preserve">;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sites of metastasis and PS significantly can be useful in predicting </w:t>
      </w:r>
      <w:r w:rsidR="00EF52EB">
        <w:rPr>
          <w:rFonts w:asciiTheme="majorBidi" w:hAnsiTheme="majorBidi" w:cstheme="majorBidi"/>
          <w:sz w:val="24"/>
          <w:szCs w:val="24"/>
          <w:lang w:bidi="ar-EG"/>
        </w:rPr>
        <w:t xml:space="preserve"> the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 xml:space="preserve">efficacy of bevacizumab in metastatic stage in terms of response , PFS and OS </w:t>
      </w:r>
      <w:r w:rsidR="004529B0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</w:p>
    <w:p w14:paraId="7FDDEE93" w14:textId="22CD5A09" w:rsidR="0024700A" w:rsidRPr="007B66D6" w:rsidRDefault="007B66D6" w:rsidP="004529B0">
      <w:pPr>
        <w:bidi w:val="0"/>
        <w:spacing w:line="276" w:lineRule="auto"/>
        <w:rPr>
          <w:sz w:val="24"/>
          <w:szCs w:val="24"/>
          <w:lang w:bidi="ar-EG"/>
        </w:rPr>
      </w:pPr>
      <w:r w:rsidRPr="004529B0">
        <w:rPr>
          <w:rFonts w:asciiTheme="majorBidi" w:hAnsiTheme="majorBidi" w:cstheme="majorBidi"/>
          <w:b/>
          <w:bCs/>
          <w:color w:val="FF0000"/>
          <w:sz w:val="24"/>
          <w:szCs w:val="24"/>
          <w:u w:val="double"/>
          <w:lang w:bidi="ar-EG"/>
        </w:rPr>
        <w:t>Disclosure:</w:t>
      </w:r>
      <w:r w:rsidRPr="007B66D6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bidi="ar-EG"/>
        </w:rPr>
        <w:t xml:space="preserve"> </w:t>
      </w:r>
      <w:r w:rsidRPr="007B66D6">
        <w:rPr>
          <w:rFonts w:asciiTheme="majorBidi" w:hAnsiTheme="majorBidi" w:cstheme="majorBidi"/>
          <w:sz w:val="24"/>
          <w:szCs w:val="24"/>
          <w:lang w:bidi="ar-EG"/>
        </w:rPr>
        <w:t>The authors report no conflicts of interest associated with this work</w:t>
      </w:r>
      <w:r w:rsidR="004529B0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</w:p>
    <w:sectPr w:rsidR="0024700A" w:rsidRPr="007B66D6" w:rsidSect="007B66D6">
      <w:pgSz w:w="16838" w:h="11906" w:orient="landscape"/>
      <w:pgMar w:top="720" w:right="720" w:bottom="720" w:left="720" w:header="708" w:footer="708" w:gutter="0"/>
      <w:cols w:num="3"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DFD1" w14:textId="77777777" w:rsidR="001B3F9B" w:rsidRDefault="001B3F9B" w:rsidP="0024700A">
      <w:pPr>
        <w:spacing w:after="0" w:line="240" w:lineRule="auto"/>
      </w:pPr>
      <w:r>
        <w:separator/>
      </w:r>
    </w:p>
  </w:endnote>
  <w:endnote w:type="continuationSeparator" w:id="0">
    <w:p w14:paraId="56D3A27A" w14:textId="77777777" w:rsidR="001B3F9B" w:rsidRDefault="001B3F9B" w:rsidP="0024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2FF8" w14:textId="77777777" w:rsidR="001B3F9B" w:rsidRDefault="001B3F9B" w:rsidP="0024700A">
      <w:pPr>
        <w:spacing w:after="0" w:line="240" w:lineRule="auto"/>
      </w:pPr>
      <w:r>
        <w:separator/>
      </w:r>
    </w:p>
  </w:footnote>
  <w:footnote w:type="continuationSeparator" w:id="0">
    <w:p w14:paraId="496AD033" w14:textId="77777777" w:rsidR="001B3F9B" w:rsidRDefault="001B3F9B" w:rsidP="00247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D6"/>
    <w:rsid w:val="00147D2A"/>
    <w:rsid w:val="001B3F9B"/>
    <w:rsid w:val="0024700A"/>
    <w:rsid w:val="004529B0"/>
    <w:rsid w:val="007B66D6"/>
    <w:rsid w:val="009A1DA6"/>
    <w:rsid w:val="009D0166"/>
    <w:rsid w:val="00E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0A40"/>
  <w15:chartTrackingRefBased/>
  <w15:docId w15:val="{FB1A1D72-2F61-42AA-89C8-60B1A051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D6"/>
    <w:pPr>
      <w:bidi/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6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6D6"/>
  </w:style>
  <w:style w:type="paragraph" w:styleId="Footer">
    <w:name w:val="footer"/>
    <w:basedOn w:val="Normal"/>
    <w:link w:val="FooterChar"/>
    <w:uiPriority w:val="99"/>
    <w:unhideWhenUsed/>
    <w:rsid w:val="007B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6D6"/>
  </w:style>
  <w:style w:type="table" w:styleId="TableGrid">
    <w:name w:val="Table Grid"/>
    <w:basedOn w:val="TableNormal"/>
    <w:uiPriority w:val="39"/>
    <w:rsid w:val="007B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29B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52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907E-8390-422B-BF33-BE871449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bakri</dc:creator>
  <cp:keywords/>
  <dc:description/>
  <cp:lastModifiedBy>Heba bakri</cp:lastModifiedBy>
  <cp:revision>3</cp:revision>
  <cp:lastPrinted>2021-08-06T13:22:00Z</cp:lastPrinted>
  <dcterms:created xsi:type="dcterms:W3CDTF">2021-08-06T13:23:00Z</dcterms:created>
  <dcterms:modified xsi:type="dcterms:W3CDTF">2021-08-08T09:02:00Z</dcterms:modified>
</cp:coreProperties>
</file>