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F7F0E">
      <w:pPr>
        <w:widowControl w:val="0"/>
        <w:autoSpaceDE w:val="0"/>
        <w:autoSpaceDN w:val="0"/>
        <w:adjustRightInd w:val="0"/>
        <w:spacing w:after="0" w:line="480" w:lineRule="auto"/>
        <w:jc w:val="center"/>
        <w:rPr>
          <w:rFonts w:asciiTheme="majorBidi" w:hAnsiTheme="majorBidi" w:cstheme="majorBidi"/>
          <w:b/>
          <w:bCs/>
          <w:sz w:val="24"/>
          <w:szCs w:val="24"/>
        </w:rPr>
      </w:pPr>
      <w:r>
        <w:rPr>
          <w:rFonts w:asciiTheme="majorBidi" w:hAnsiTheme="majorBidi" w:cstheme="majorBidi"/>
          <w:b/>
          <w:bCs/>
          <w:sz w:val="24"/>
          <w:szCs w:val="24"/>
        </w:rPr>
        <w:t>Title: Prognostic and diagnostic roles of some non-classic biomarkers in pediatric pneumonia</w:t>
      </w:r>
    </w:p>
    <w:p w14:paraId="5969EC1D">
      <w:pPr>
        <w:widowControl w:val="0"/>
        <w:autoSpaceDE w:val="0"/>
        <w:autoSpaceDN w:val="0"/>
        <w:adjustRightInd w:val="0"/>
        <w:spacing w:after="0" w:line="480" w:lineRule="auto"/>
        <w:jc w:val="center"/>
        <w:rPr>
          <w:rFonts w:asciiTheme="majorBidi" w:hAnsiTheme="majorBidi" w:cstheme="majorBidi"/>
          <w:b/>
          <w:bCs/>
          <w:sz w:val="24"/>
          <w:szCs w:val="24"/>
        </w:rPr>
      </w:pPr>
      <w:r>
        <w:rPr>
          <w:rFonts w:asciiTheme="majorBidi" w:hAnsiTheme="majorBidi" w:cstheme="majorBidi"/>
          <w:b/>
          <w:bCs/>
          <w:sz w:val="24"/>
          <w:szCs w:val="24"/>
        </w:rPr>
        <w:t>Running title: Non-Classic Biomarkers in Pediatric Pneumonia: Prognostic and Diagnostic Insights</w:t>
      </w:r>
    </w:p>
    <w:p w14:paraId="4F93FEEF">
      <w:pPr>
        <w:widowControl w:val="0"/>
        <w:autoSpaceDE w:val="0"/>
        <w:autoSpaceDN w:val="0"/>
        <w:adjustRightInd w:val="0"/>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Abstract</w:t>
      </w:r>
    </w:p>
    <w:p w14:paraId="7BA7EDF6">
      <w:pPr>
        <w:widowControl w:val="0"/>
        <w:autoSpaceDE w:val="0"/>
        <w:autoSpaceDN w:val="0"/>
        <w:adjustRightInd w:val="0"/>
        <w:spacing w:after="0" w:line="480" w:lineRule="auto"/>
        <w:jc w:val="both"/>
        <w:rPr>
          <w:rFonts w:asciiTheme="majorBidi" w:hAnsiTheme="majorBidi" w:cstheme="majorBidi"/>
          <w:sz w:val="24"/>
          <w:szCs w:val="24"/>
          <w:lang w:val="en-US"/>
        </w:rPr>
      </w:pPr>
      <w:r>
        <w:rPr>
          <w:rFonts w:asciiTheme="majorBidi" w:hAnsiTheme="majorBidi" w:cstheme="majorBidi"/>
          <w:b/>
          <w:bCs/>
          <w:sz w:val="24"/>
          <w:szCs w:val="24"/>
          <w:lang w:val="en-US"/>
        </w:rPr>
        <w:t>Background:</w:t>
      </w:r>
      <w:r>
        <w:rPr>
          <w:rFonts w:asciiTheme="majorBidi" w:hAnsiTheme="majorBidi" w:cstheme="majorBidi"/>
          <w:sz w:val="24"/>
          <w:szCs w:val="24"/>
          <w:lang w:val="en-US"/>
        </w:rPr>
        <w:t xml:space="preserve"> Pediatric pneumonia remains a leading cause of childhood morbidity and mortality worldwide. Traditional biomarkers have limitations in predicting disease severity and outcomes. This study evaluated the diagnostic and prognostic value of non-classic biomarkers in pediatric pneumonia.</w:t>
      </w:r>
    </w:p>
    <w:p w14:paraId="74610015">
      <w:pPr>
        <w:widowControl w:val="0"/>
        <w:autoSpaceDE w:val="0"/>
        <w:autoSpaceDN w:val="0"/>
        <w:adjustRightInd w:val="0"/>
        <w:spacing w:after="0" w:line="480" w:lineRule="auto"/>
        <w:jc w:val="both"/>
        <w:rPr>
          <w:rFonts w:asciiTheme="majorBidi" w:hAnsiTheme="majorBidi" w:cstheme="majorBidi"/>
          <w:sz w:val="24"/>
          <w:szCs w:val="24"/>
          <w:lang w:val="en-US"/>
        </w:rPr>
      </w:pPr>
      <w:r>
        <w:rPr>
          <w:rFonts w:asciiTheme="majorBidi" w:hAnsiTheme="majorBidi" w:cstheme="majorBidi"/>
          <w:b/>
          <w:bCs/>
          <w:sz w:val="24"/>
          <w:szCs w:val="24"/>
          <w:lang w:val="en-US"/>
        </w:rPr>
        <w:t>Objective:</w:t>
      </w:r>
      <w:r>
        <w:rPr>
          <w:rFonts w:asciiTheme="majorBidi" w:hAnsiTheme="majorBidi" w:cstheme="majorBidi"/>
          <w:sz w:val="24"/>
          <w:szCs w:val="24"/>
          <w:lang w:val="en-US"/>
        </w:rPr>
        <w:t xml:space="preserve"> To assess the utility of  neutrophil CD64 expression, neutrophil-to-monocyte CD64 ratio, neutrophil-to-lymphocyte CD64 ratio in pediatric pneumonia diagnosis and prognosis.</w:t>
      </w:r>
    </w:p>
    <w:p w14:paraId="484D2070">
      <w:pPr>
        <w:widowControl w:val="0"/>
        <w:autoSpaceDE w:val="0"/>
        <w:autoSpaceDN w:val="0"/>
        <w:adjustRightInd w:val="0"/>
        <w:spacing w:after="0" w:line="480" w:lineRule="auto"/>
        <w:jc w:val="both"/>
        <w:rPr>
          <w:rFonts w:asciiTheme="majorBidi" w:hAnsiTheme="majorBidi" w:cstheme="majorBidi"/>
          <w:sz w:val="24"/>
          <w:szCs w:val="24"/>
          <w:lang w:val="en-US"/>
        </w:rPr>
      </w:pPr>
      <w:r>
        <w:rPr>
          <w:rFonts w:asciiTheme="majorBidi" w:hAnsiTheme="majorBidi" w:cstheme="majorBidi"/>
          <w:b/>
          <w:bCs/>
          <w:sz w:val="24"/>
          <w:szCs w:val="24"/>
          <w:lang w:val="en-US"/>
        </w:rPr>
        <w:t>Methods:</w:t>
      </w:r>
      <w:r>
        <w:rPr>
          <w:rFonts w:asciiTheme="majorBidi" w:hAnsiTheme="majorBidi" w:cstheme="majorBidi"/>
          <w:sz w:val="24"/>
          <w:szCs w:val="24"/>
          <w:lang w:val="en-US"/>
        </w:rPr>
        <w:t xml:space="preserve"> A case-control study was conducted at Assiut University Children's Hospital including 60 children with pneumonia and 60 age-matched healthy controls. Clinical assessments, routine laboratory investigations, and flow cytometric analysis were performed. Cases were evaluated using the Clinical Respiratory Score and followed for outcomes including ICU admission, mechanical ventilation, and mortality. Receiver operating characteristic (ROC) curve analysis determined diagnostic performance.</w:t>
      </w:r>
    </w:p>
    <w:p w14:paraId="51E23770">
      <w:pPr>
        <w:widowControl w:val="0"/>
        <w:autoSpaceDE w:val="0"/>
        <w:autoSpaceDN w:val="0"/>
        <w:adjustRightInd w:val="0"/>
        <w:spacing w:after="0" w:line="480" w:lineRule="auto"/>
        <w:jc w:val="both"/>
        <w:rPr>
          <w:rFonts w:asciiTheme="majorBidi" w:hAnsiTheme="majorBidi" w:cstheme="majorBidi"/>
          <w:sz w:val="24"/>
          <w:szCs w:val="24"/>
          <w:lang w:val="en-US"/>
        </w:rPr>
      </w:pPr>
      <w:r>
        <w:rPr>
          <w:rFonts w:asciiTheme="majorBidi" w:hAnsiTheme="majorBidi" w:cstheme="majorBidi"/>
          <w:b/>
          <w:bCs/>
          <w:sz w:val="24"/>
          <w:szCs w:val="24"/>
          <w:lang w:val="en-US"/>
        </w:rPr>
        <w:t>Results:</w:t>
      </w:r>
      <w:r>
        <w:rPr>
          <w:rFonts w:asciiTheme="majorBidi" w:hAnsiTheme="majorBidi" w:cstheme="majorBidi"/>
          <w:sz w:val="24"/>
          <w:szCs w:val="24"/>
          <w:lang w:val="en-US"/>
        </w:rPr>
        <w:t xml:space="preserve"> The non-classic biomarker showed significant differences between cases and controls (p&lt;0.001). Neutrophil CD64 (692.67±326.26 vs. 359.84±57.48), and CD64 ratios were significantly elevated in cases. Biomarkers correlated significantly with disease severity, prolonged hospitalization, ICU admission, and mechanical ventilation. Fatal cases demonstrated markedly elevated inflammatory markers. ROC analysis revealed excellent diagnostic performance, with neutrophil-to-lymphocyte CD64 ratio showing superior accuracy (AUC=0.97, sensitivity=90%, specificity=99%).</w:t>
      </w:r>
    </w:p>
    <w:p w14:paraId="6E7599DA">
      <w:pPr>
        <w:widowControl w:val="0"/>
        <w:autoSpaceDE w:val="0"/>
        <w:autoSpaceDN w:val="0"/>
        <w:adjustRightInd w:val="0"/>
        <w:spacing w:after="0" w:line="480" w:lineRule="auto"/>
        <w:jc w:val="both"/>
        <w:rPr>
          <w:rFonts w:asciiTheme="majorBidi" w:hAnsiTheme="majorBidi" w:cstheme="majorBidi"/>
          <w:sz w:val="24"/>
          <w:szCs w:val="24"/>
          <w:lang w:val="en-US"/>
        </w:rPr>
      </w:pPr>
      <w:r>
        <w:rPr>
          <w:rFonts w:asciiTheme="majorBidi" w:hAnsiTheme="majorBidi" w:cstheme="majorBidi"/>
          <w:b/>
          <w:bCs/>
          <w:sz w:val="24"/>
          <w:szCs w:val="24"/>
          <w:lang w:val="en-US"/>
        </w:rPr>
        <w:t>Conclusion:</w:t>
      </w:r>
      <w:r>
        <w:rPr>
          <w:rFonts w:asciiTheme="majorBidi" w:hAnsiTheme="majorBidi" w:cstheme="majorBidi"/>
          <w:sz w:val="24"/>
          <w:szCs w:val="24"/>
          <w:lang w:val="en-US"/>
        </w:rPr>
        <w:t xml:space="preserve"> Non-classic biomarkers demonstrate significant diagnostic and prognostic utility in pediatric pneumonia. These findings support their integration into clinical practice for improved risk stratification, treatment decision-making, and outcome prediction in children with pneumonia.</w:t>
      </w:r>
    </w:p>
    <w:p w14:paraId="309C3C0E">
      <w:pPr>
        <w:widowControl w:val="0"/>
        <w:autoSpaceDE w:val="0"/>
        <w:autoSpaceDN w:val="0"/>
        <w:adjustRightInd w:val="0"/>
        <w:spacing w:after="0" w:line="480" w:lineRule="auto"/>
        <w:jc w:val="both"/>
        <w:rPr>
          <w:rFonts w:asciiTheme="majorBidi" w:hAnsiTheme="majorBidi" w:cstheme="majorBidi"/>
          <w:sz w:val="24"/>
          <w:szCs w:val="24"/>
          <w:lang w:val="en-US"/>
        </w:rPr>
      </w:pPr>
      <w:r>
        <w:rPr>
          <w:rFonts w:asciiTheme="majorBidi" w:hAnsiTheme="majorBidi" w:cstheme="majorBidi"/>
          <w:b/>
          <w:bCs/>
          <w:sz w:val="24"/>
          <w:szCs w:val="24"/>
          <w:lang w:val="en-US"/>
        </w:rPr>
        <w:t>Keywords:</w:t>
      </w:r>
      <w:r>
        <w:rPr>
          <w:rFonts w:asciiTheme="majorBidi" w:hAnsiTheme="majorBidi" w:cstheme="majorBidi"/>
          <w:sz w:val="24"/>
          <w:szCs w:val="24"/>
          <w:lang w:val="en-US"/>
        </w:rPr>
        <w:t xml:space="preserve"> Pediatric pneumonia;  CD64; Biomarkers; Prognosis; Diagnosis</w:t>
      </w:r>
    </w:p>
    <w:p w14:paraId="74B8A24D">
      <w:pPr>
        <w:widowControl w:val="0"/>
        <w:autoSpaceDE w:val="0"/>
        <w:autoSpaceDN w:val="0"/>
        <w:adjustRightInd w:val="0"/>
        <w:spacing w:after="0" w:line="480" w:lineRule="auto"/>
        <w:jc w:val="both"/>
        <w:rPr>
          <w:rFonts w:asciiTheme="minorBidi" w:hAnsiTheme="minorBidi"/>
          <w:lang w:val="en-US"/>
        </w:rPr>
      </w:pPr>
    </w:p>
    <w:p w14:paraId="6A374D2B">
      <w:pPr>
        <w:widowControl w:val="0"/>
        <w:tabs>
          <w:tab w:val="left" w:pos="6480"/>
        </w:tabs>
        <w:autoSpaceDE w:val="0"/>
        <w:autoSpaceDN w:val="0"/>
        <w:adjustRightInd w:val="0"/>
        <w:spacing w:after="0" w:line="480" w:lineRule="auto"/>
        <w:rPr>
          <w:rFonts w:asciiTheme="minorBidi" w:hAnsiTheme="minorBidi"/>
          <w:caps/>
        </w:rPr>
      </w:pPr>
    </w:p>
    <w:p w14:paraId="66986BB8">
      <w:pPr>
        <w:widowControl w:val="0"/>
        <w:tabs>
          <w:tab w:val="left" w:pos="6480"/>
        </w:tabs>
        <w:autoSpaceDE w:val="0"/>
        <w:autoSpaceDN w:val="0"/>
        <w:adjustRightInd w:val="0"/>
        <w:spacing w:after="0" w:line="480" w:lineRule="auto"/>
        <w:rPr>
          <w:rFonts w:asciiTheme="minorBidi" w:hAnsiTheme="minorBidi"/>
          <w:b/>
          <w:bCs/>
          <w:caps/>
        </w:rPr>
      </w:pPr>
    </w:p>
    <w:p w14:paraId="006970C7">
      <w:pPr>
        <w:widowControl w:val="0"/>
        <w:tabs>
          <w:tab w:val="left" w:pos="6480"/>
        </w:tabs>
        <w:autoSpaceDE w:val="0"/>
        <w:autoSpaceDN w:val="0"/>
        <w:adjustRightInd w:val="0"/>
        <w:spacing w:after="0" w:line="480" w:lineRule="auto"/>
        <w:rPr>
          <w:rFonts w:asciiTheme="minorBidi" w:hAnsiTheme="minorBidi"/>
          <w:b/>
          <w:bCs/>
          <w:caps/>
        </w:rPr>
        <w:sectPr>
          <w:footerReference r:id="rId5" w:type="default"/>
          <w:footerReference r:id="rId6" w:type="even"/>
          <w:pgSz w:w="12240" w:h="15840"/>
          <w:pgMar w:top="1440" w:right="1440" w:bottom="1440" w:left="1440" w:header="720" w:footer="720" w:gutter="0"/>
          <w:cols w:space="720" w:num="1"/>
          <w:docGrid w:linePitch="360" w:charSpace="0"/>
        </w:sectPr>
      </w:pPr>
    </w:p>
    <w:p w14:paraId="68182A3A">
      <w:pPr>
        <w:widowControl w:val="0"/>
        <w:tabs>
          <w:tab w:val="left" w:pos="6480"/>
        </w:tabs>
        <w:autoSpaceDE w:val="0"/>
        <w:autoSpaceDN w:val="0"/>
        <w:adjustRightInd w:val="0"/>
        <w:spacing w:after="0" w:line="480" w:lineRule="auto"/>
        <w:rPr>
          <w:rFonts w:asciiTheme="majorBidi" w:hAnsiTheme="majorBidi" w:cstheme="majorBidi"/>
          <w:sz w:val="24"/>
          <w:szCs w:val="24"/>
        </w:rPr>
      </w:pPr>
      <w:r>
        <w:rPr>
          <w:rFonts w:asciiTheme="majorBidi" w:hAnsiTheme="majorBidi" w:cstheme="majorBidi"/>
          <w:b/>
          <w:bCs/>
          <w:sz w:val="24"/>
          <w:szCs w:val="24"/>
        </w:rPr>
        <w:t>Introduction</w:t>
      </w:r>
    </w:p>
    <w:p w14:paraId="0218EC29">
      <w:pPr>
        <w:widowControl w:val="0"/>
        <w:autoSpaceDE w:val="0"/>
        <w:autoSpaceDN w:val="0"/>
        <w:adjustRightInd w:val="0"/>
        <w:spacing w:after="0" w:line="480" w:lineRule="auto"/>
        <w:jc w:val="both"/>
        <w:rPr>
          <w:rFonts w:eastAsia="Calibri" w:asciiTheme="majorBidi" w:hAnsiTheme="majorBidi" w:cstheme="majorBidi"/>
          <w:bCs/>
          <w:sz w:val="24"/>
          <w:szCs w:val="24"/>
          <w:lang w:val="en-US"/>
        </w:rPr>
      </w:pPr>
      <w:r>
        <w:rPr>
          <w:rFonts w:eastAsia="Calibri" w:asciiTheme="majorBidi" w:hAnsiTheme="majorBidi" w:cstheme="majorBidi"/>
          <w:bCs/>
          <w:sz w:val="24"/>
          <w:szCs w:val="24"/>
          <w:lang w:val="en-US"/>
        </w:rPr>
        <w:t>Pediatric pneumonia remains a leading cause of morbidity and mortality among children worldwide, accounting for approximately 15% of all deaths in children under five years of age. Despite advances in diagnostic imaging and laboratory techniques, early identification of pneumonia severity and accurate prognostic assessment continue to challenge clinicians, particularly in resource-limited settings where rapid decision-making is crucial for optimal patient outcomes [1].</w:t>
      </w:r>
    </w:p>
    <w:p w14:paraId="112890C7">
      <w:pPr>
        <w:widowControl w:val="0"/>
        <w:autoSpaceDE w:val="0"/>
        <w:autoSpaceDN w:val="0"/>
        <w:adjustRightInd w:val="0"/>
        <w:spacing w:after="0" w:line="480" w:lineRule="auto"/>
        <w:jc w:val="both"/>
        <w:rPr>
          <w:rFonts w:eastAsia="Calibri" w:asciiTheme="majorBidi" w:hAnsiTheme="majorBidi" w:cstheme="majorBidi"/>
          <w:bCs/>
          <w:sz w:val="24"/>
          <w:szCs w:val="24"/>
          <w:lang w:val="en-US"/>
        </w:rPr>
      </w:pPr>
      <w:r>
        <w:rPr>
          <w:rFonts w:eastAsia="Calibri" w:asciiTheme="majorBidi" w:hAnsiTheme="majorBidi" w:cstheme="majorBidi"/>
          <w:bCs/>
          <w:sz w:val="24"/>
          <w:szCs w:val="24"/>
          <w:lang w:val="en-US"/>
        </w:rPr>
        <w:t>Traditional biomarkers such as C-reactive protein (CRP), procalcitonin, and white blood cell count, while widely used, demonstrate suboptimal sensitivity and specificity for distinguishing pneumonia severity and predicting clinical outcomes in pediatric populations [2]. The heterogeneous clinical presentation of pediatric pneumonia, coupled with the limitations of conventional chest radiography in early disease stages, necessitates the identification of more precise diagnostic and prognostic tools [3].</w:t>
      </w:r>
    </w:p>
    <w:p w14:paraId="5C46D864">
      <w:pPr>
        <w:widowControl w:val="0"/>
        <w:autoSpaceDE w:val="0"/>
        <w:autoSpaceDN w:val="0"/>
        <w:adjustRightInd w:val="0"/>
        <w:spacing w:after="0" w:line="480" w:lineRule="auto"/>
        <w:jc w:val="both"/>
        <w:rPr>
          <w:rFonts w:eastAsia="Calibri" w:asciiTheme="majorBidi" w:hAnsiTheme="majorBidi" w:cstheme="majorBidi"/>
          <w:bCs/>
          <w:sz w:val="24"/>
          <w:szCs w:val="24"/>
          <w:lang w:val="en-US"/>
        </w:rPr>
      </w:pPr>
      <w:r>
        <w:rPr>
          <w:rFonts w:eastAsia="Calibri" w:asciiTheme="majorBidi" w:hAnsiTheme="majorBidi" w:cstheme="majorBidi"/>
          <w:bCs/>
          <w:sz w:val="24"/>
          <w:szCs w:val="24"/>
          <w:lang w:val="en-US"/>
        </w:rPr>
        <w:t xml:space="preserve">Recent advances in immunology have highlighted the potential of non-classic biomarkers that reflect specific aspects of the host immune response to respiratory infections. </w:t>
      </w:r>
      <w:r>
        <w:rPr>
          <w:rFonts w:hint="default" w:eastAsia="Calibri" w:asciiTheme="majorBidi" w:hAnsiTheme="majorBidi" w:cstheme="majorBidi"/>
          <w:bCs/>
          <w:sz w:val="24"/>
          <w:szCs w:val="24"/>
          <w:lang w:val="en-US"/>
        </w:rPr>
        <w:t>N</w:t>
      </w:r>
      <w:r>
        <w:rPr>
          <w:rFonts w:eastAsia="Calibri" w:asciiTheme="majorBidi" w:hAnsiTheme="majorBidi" w:cstheme="majorBidi"/>
          <w:bCs/>
          <w:sz w:val="24"/>
          <w:szCs w:val="24"/>
          <w:lang w:val="en-US"/>
        </w:rPr>
        <w:t xml:space="preserve">eutrophil CD64 expression, a high-affinity Fc receptor upregulated during bacterial infections, offers potential for distinguishing infectious from non-infectious inflammatory conditions </w:t>
      </w:r>
      <w:r>
        <w:rPr>
          <w:rFonts w:eastAsia="Times New Roman" w:asciiTheme="majorBidi" w:hAnsiTheme="majorBidi" w:cstheme="majorBidi"/>
          <w:bCs/>
          <w:sz w:val="24"/>
          <w:szCs w:val="24"/>
        </w:rPr>
        <w:t>[5]</w:t>
      </w:r>
      <w:r>
        <w:rPr>
          <w:rFonts w:eastAsia="Calibri" w:asciiTheme="majorBidi" w:hAnsiTheme="majorBidi" w:cstheme="majorBidi"/>
          <w:bCs/>
          <w:sz w:val="24"/>
          <w:szCs w:val="24"/>
          <w:lang w:val="en-US"/>
        </w:rPr>
        <w:t xml:space="preserve">. </w:t>
      </w:r>
    </w:p>
    <w:p w14:paraId="24E86AB8">
      <w:pPr>
        <w:widowControl w:val="0"/>
        <w:autoSpaceDE w:val="0"/>
        <w:autoSpaceDN w:val="0"/>
        <w:adjustRightInd w:val="0"/>
        <w:spacing w:after="0" w:line="480" w:lineRule="auto"/>
        <w:jc w:val="both"/>
        <w:rPr>
          <w:rFonts w:eastAsia="Calibri" w:asciiTheme="majorBidi" w:hAnsiTheme="majorBidi" w:cstheme="majorBidi"/>
          <w:bCs/>
          <w:sz w:val="24"/>
          <w:szCs w:val="24"/>
          <w:lang w:val="en-US"/>
        </w:rPr>
      </w:pPr>
      <w:r>
        <w:rPr>
          <w:rFonts w:eastAsia="Calibri" w:asciiTheme="majorBidi" w:hAnsiTheme="majorBidi" w:cstheme="majorBidi"/>
          <w:bCs/>
          <w:sz w:val="24"/>
          <w:szCs w:val="24"/>
          <w:lang w:val="en-US"/>
        </w:rPr>
        <w:t>The clinical utility of th</w:t>
      </w:r>
      <w:r>
        <w:rPr>
          <w:rFonts w:hint="default" w:eastAsia="Calibri" w:asciiTheme="majorBidi" w:hAnsiTheme="majorBidi" w:cstheme="majorBidi"/>
          <w:bCs/>
          <w:sz w:val="24"/>
          <w:szCs w:val="24"/>
          <w:lang w:val="en-US"/>
        </w:rPr>
        <w:t>is</w:t>
      </w:r>
      <w:r>
        <w:rPr>
          <w:rFonts w:eastAsia="Calibri" w:asciiTheme="majorBidi" w:hAnsiTheme="majorBidi" w:cstheme="majorBidi"/>
          <w:bCs/>
          <w:sz w:val="24"/>
          <w:szCs w:val="24"/>
          <w:lang w:val="en-US"/>
        </w:rPr>
        <w:t xml:space="preserve"> non-classic biomarker in pediatric pneumonia diagnosis, severity assessment, and outcome prediction remains inadequately characterized. Furthermore, their intercorrelation and relative performance compared to traditional inflammatory markers require systematic evaluation to determine their potential integration into clinical practice.</w:t>
      </w:r>
    </w:p>
    <w:p w14:paraId="39DBD8D1">
      <w:pPr>
        <w:widowControl w:val="0"/>
        <w:autoSpaceDE w:val="0"/>
        <w:autoSpaceDN w:val="0"/>
        <w:adjustRightInd w:val="0"/>
        <w:spacing w:after="0" w:line="480" w:lineRule="auto"/>
        <w:jc w:val="both"/>
        <w:rPr>
          <w:rFonts w:eastAsia="Calibri" w:asciiTheme="majorBidi" w:hAnsiTheme="majorBidi" w:cstheme="majorBidi"/>
          <w:b/>
          <w:bCs/>
          <w:sz w:val="24"/>
          <w:szCs w:val="24"/>
          <w:lang w:val="en-US"/>
        </w:rPr>
      </w:pPr>
    </w:p>
    <w:p w14:paraId="2FA967F3">
      <w:pPr>
        <w:widowControl w:val="0"/>
        <w:autoSpaceDE w:val="0"/>
        <w:autoSpaceDN w:val="0"/>
        <w:adjustRightInd w:val="0"/>
        <w:spacing w:after="0" w:line="480" w:lineRule="auto"/>
        <w:jc w:val="both"/>
        <w:rPr>
          <w:rFonts w:eastAsia="Calibri" w:asciiTheme="majorBidi" w:hAnsiTheme="majorBidi" w:cstheme="majorBidi"/>
          <w:b/>
          <w:bCs/>
          <w:sz w:val="24"/>
          <w:szCs w:val="24"/>
          <w:lang w:val="en-US"/>
        </w:rPr>
      </w:pPr>
    </w:p>
    <w:p w14:paraId="672B30B9">
      <w:pPr>
        <w:widowControl w:val="0"/>
        <w:autoSpaceDE w:val="0"/>
        <w:autoSpaceDN w:val="0"/>
        <w:adjustRightInd w:val="0"/>
        <w:spacing w:after="0" w:line="480" w:lineRule="auto"/>
        <w:jc w:val="both"/>
        <w:rPr>
          <w:rFonts w:eastAsia="Calibri" w:asciiTheme="majorBidi" w:hAnsiTheme="majorBidi" w:cstheme="majorBidi"/>
          <w:b/>
          <w:bCs/>
          <w:sz w:val="24"/>
          <w:szCs w:val="24"/>
          <w:lang w:val="en-US"/>
        </w:rPr>
      </w:pPr>
      <w:r>
        <w:rPr>
          <w:rFonts w:eastAsia="Calibri" w:asciiTheme="majorBidi" w:hAnsiTheme="majorBidi" w:cstheme="majorBidi"/>
          <w:b/>
          <w:bCs/>
          <w:sz w:val="24"/>
          <w:szCs w:val="24"/>
          <w:lang w:val="en-US"/>
        </w:rPr>
        <w:t>Patients and Methods</w:t>
      </w:r>
    </w:p>
    <w:p w14:paraId="7EF90A9C">
      <w:pPr>
        <w:widowControl w:val="0"/>
        <w:autoSpaceDE w:val="0"/>
        <w:autoSpaceDN w:val="0"/>
        <w:adjustRightInd w:val="0"/>
        <w:spacing w:after="0" w:line="480" w:lineRule="auto"/>
        <w:jc w:val="both"/>
        <w:rPr>
          <w:rFonts w:eastAsia="Calibri" w:asciiTheme="majorBidi" w:hAnsiTheme="majorBidi" w:cstheme="majorBidi"/>
          <w:b/>
          <w:bCs/>
          <w:sz w:val="24"/>
          <w:szCs w:val="24"/>
          <w:lang w:val="en-US"/>
        </w:rPr>
      </w:pPr>
      <w:r>
        <w:rPr>
          <w:rFonts w:eastAsia="Calibri" w:asciiTheme="majorBidi" w:hAnsiTheme="majorBidi" w:cstheme="majorBidi"/>
          <w:b/>
          <w:bCs/>
          <w:sz w:val="24"/>
          <w:szCs w:val="24"/>
          <w:lang w:val="en-US"/>
        </w:rPr>
        <w:t>Study Design and Setting</w:t>
      </w:r>
    </w:p>
    <w:p w14:paraId="331907F8">
      <w:pPr>
        <w:widowControl w:val="0"/>
        <w:autoSpaceDE w:val="0"/>
        <w:autoSpaceDN w:val="0"/>
        <w:adjustRightInd w:val="0"/>
        <w:spacing w:after="0" w:line="480" w:lineRule="auto"/>
        <w:jc w:val="both"/>
        <w:rPr>
          <w:rFonts w:eastAsia="Calibri" w:asciiTheme="majorBidi" w:hAnsiTheme="majorBidi" w:cstheme="majorBidi"/>
          <w:bCs/>
          <w:sz w:val="24"/>
          <w:szCs w:val="24"/>
          <w:lang w:val="en-US"/>
        </w:rPr>
      </w:pPr>
      <w:r>
        <w:rPr>
          <w:rFonts w:eastAsia="Calibri" w:asciiTheme="majorBidi" w:hAnsiTheme="majorBidi" w:cstheme="majorBidi"/>
          <w:bCs/>
          <w:sz w:val="24"/>
          <w:szCs w:val="24"/>
          <w:lang w:val="en-US"/>
        </w:rPr>
        <w:t>This case-control study was conducted at Assiut University Children's Hospital (AUCH), specifically within the Chest and Emergency Unit, over a two-year period. The study protocol was approved by the institutional review board, and written informed consent was obtained from parents or guardians of all participants.</w:t>
      </w:r>
    </w:p>
    <w:p w14:paraId="62539453">
      <w:pPr>
        <w:widowControl w:val="0"/>
        <w:autoSpaceDE w:val="0"/>
        <w:autoSpaceDN w:val="0"/>
        <w:adjustRightInd w:val="0"/>
        <w:spacing w:after="0" w:line="480" w:lineRule="auto"/>
        <w:jc w:val="both"/>
        <w:rPr>
          <w:rFonts w:eastAsia="Calibri" w:asciiTheme="majorBidi" w:hAnsiTheme="majorBidi" w:cstheme="majorBidi"/>
          <w:b/>
          <w:bCs/>
          <w:sz w:val="24"/>
          <w:szCs w:val="24"/>
          <w:lang w:val="en-US"/>
        </w:rPr>
      </w:pPr>
      <w:r>
        <w:rPr>
          <w:rFonts w:eastAsia="Calibri" w:asciiTheme="majorBidi" w:hAnsiTheme="majorBidi" w:cstheme="majorBidi"/>
          <w:b/>
          <w:bCs/>
          <w:sz w:val="24"/>
          <w:szCs w:val="24"/>
          <w:lang w:val="en-US"/>
        </w:rPr>
        <w:t>Study Population</w:t>
      </w:r>
    </w:p>
    <w:p w14:paraId="3B6E2F2F">
      <w:pPr>
        <w:widowControl w:val="0"/>
        <w:autoSpaceDE w:val="0"/>
        <w:autoSpaceDN w:val="0"/>
        <w:adjustRightInd w:val="0"/>
        <w:spacing w:after="0" w:line="480" w:lineRule="auto"/>
        <w:jc w:val="both"/>
        <w:rPr>
          <w:rFonts w:eastAsia="Calibri" w:asciiTheme="majorBidi" w:hAnsiTheme="majorBidi" w:cstheme="majorBidi"/>
          <w:b/>
          <w:bCs/>
          <w:sz w:val="24"/>
          <w:szCs w:val="24"/>
          <w:lang w:val="en-US"/>
        </w:rPr>
      </w:pPr>
      <w:r>
        <w:rPr>
          <w:rFonts w:eastAsia="Calibri" w:asciiTheme="majorBidi" w:hAnsiTheme="majorBidi" w:cstheme="majorBidi"/>
          <w:b/>
          <w:bCs/>
          <w:sz w:val="24"/>
          <w:szCs w:val="24"/>
          <w:lang w:val="en-US"/>
        </w:rPr>
        <w:t>Inclusion Criteria</w:t>
      </w:r>
    </w:p>
    <w:p w14:paraId="0D1501A8">
      <w:pPr>
        <w:widowControl w:val="0"/>
        <w:autoSpaceDE w:val="0"/>
        <w:autoSpaceDN w:val="0"/>
        <w:adjustRightInd w:val="0"/>
        <w:spacing w:after="0" w:line="480" w:lineRule="auto"/>
        <w:jc w:val="both"/>
        <w:rPr>
          <w:rFonts w:eastAsia="Calibri" w:asciiTheme="majorBidi" w:hAnsiTheme="majorBidi" w:cstheme="majorBidi"/>
          <w:bCs/>
          <w:sz w:val="24"/>
          <w:szCs w:val="24"/>
          <w:lang w:val="en-US"/>
        </w:rPr>
      </w:pPr>
      <w:r>
        <w:rPr>
          <w:rFonts w:eastAsia="Calibri" w:asciiTheme="majorBidi" w:hAnsiTheme="majorBidi" w:cstheme="majorBidi"/>
          <w:bCs/>
          <w:sz w:val="24"/>
          <w:szCs w:val="24"/>
          <w:lang w:val="en-US"/>
        </w:rPr>
        <w:t>Children aged one month to five years presenting with community-acquired pneumonia (CAP) at AUCH were enrolled as cases. Controls comprised age- and sex-matched healthy children without CAP.</w:t>
      </w:r>
    </w:p>
    <w:p w14:paraId="79ED4CDD">
      <w:pPr>
        <w:widowControl w:val="0"/>
        <w:autoSpaceDE w:val="0"/>
        <w:autoSpaceDN w:val="0"/>
        <w:adjustRightInd w:val="0"/>
        <w:spacing w:after="0" w:line="480" w:lineRule="auto"/>
        <w:jc w:val="both"/>
        <w:rPr>
          <w:rFonts w:eastAsia="Calibri" w:asciiTheme="majorBidi" w:hAnsiTheme="majorBidi" w:cstheme="majorBidi"/>
          <w:b/>
          <w:bCs/>
          <w:sz w:val="24"/>
          <w:szCs w:val="24"/>
          <w:lang w:val="en-US"/>
        </w:rPr>
      </w:pPr>
      <w:r>
        <w:rPr>
          <w:rFonts w:eastAsia="Calibri" w:asciiTheme="majorBidi" w:hAnsiTheme="majorBidi" w:cstheme="majorBidi"/>
          <w:b/>
          <w:bCs/>
          <w:sz w:val="24"/>
          <w:szCs w:val="24"/>
          <w:lang w:val="en-US"/>
        </w:rPr>
        <w:t>Exclusion Criteria</w:t>
      </w:r>
    </w:p>
    <w:p w14:paraId="1FAABB64">
      <w:pPr>
        <w:widowControl w:val="0"/>
        <w:autoSpaceDE w:val="0"/>
        <w:autoSpaceDN w:val="0"/>
        <w:adjustRightInd w:val="0"/>
        <w:spacing w:after="0" w:line="480" w:lineRule="auto"/>
        <w:jc w:val="both"/>
        <w:rPr>
          <w:rFonts w:eastAsia="Calibri" w:asciiTheme="majorBidi" w:hAnsiTheme="majorBidi" w:cstheme="majorBidi"/>
          <w:bCs/>
          <w:sz w:val="24"/>
          <w:szCs w:val="24"/>
          <w:lang w:val="en-US"/>
        </w:rPr>
      </w:pPr>
      <w:r>
        <w:rPr>
          <w:rFonts w:eastAsia="Calibri" w:asciiTheme="majorBidi" w:hAnsiTheme="majorBidi" w:cstheme="majorBidi"/>
          <w:bCs/>
          <w:sz w:val="24"/>
          <w:szCs w:val="24"/>
          <w:lang w:val="en-US"/>
        </w:rPr>
        <w:t>Patients with severe sepsis, localized infections (endocarditis, empyema), autoimmune diseases, liver cirrhosis, or those receiving immunosuppressive therapy were excluded to maintain study homogeneity.</w:t>
      </w:r>
    </w:p>
    <w:p w14:paraId="73E39D9A">
      <w:pPr>
        <w:widowControl w:val="0"/>
        <w:autoSpaceDE w:val="0"/>
        <w:autoSpaceDN w:val="0"/>
        <w:adjustRightInd w:val="0"/>
        <w:spacing w:after="0" w:line="480" w:lineRule="auto"/>
        <w:jc w:val="both"/>
        <w:rPr>
          <w:rFonts w:eastAsia="Calibri" w:asciiTheme="majorBidi" w:hAnsiTheme="majorBidi" w:cstheme="majorBidi"/>
          <w:b/>
          <w:bCs/>
          <w:sz w:val="24"/>
          <w:szCs w:val="24"/>
          <w:lang w:val="en-US"/>
        </w:rPr>
      </w:pPr>
      <w:r>
        <w:rPr>
          <w:rFonts w:eastAsia="Calibri" w:asciiTheme="majorBidi" w:hAnsiTheme="majorBidi" w:cstheme="majorBidi"/>
          <w:b/>
          <w:bCs/>
          <w:sz w:val="24"/>
          <w:szCs w:val="24"/>
          <w:lang w:val="en-US"/>
        </w:rPr>
        <w:t>Sample Size</w:t>
      </w:r>
    </w:p>
    <w:p w14:paraId="7E221893">
      <w:pPr>
        <w:widowControl w:val="0"/>
        <w:autoSpaceDE w:val="0"/>
        <w:autoSpaceDN w:val="0"/>
        <w:adjustRightInd w:val="0"/>
        <w:spacing w:after="0" w:line="480" w:lineRule="auto"/>
        <w:jc w:val="both"/>
        <w:rPr>
          <w:rFonts w:eastAsia="Calibri" w:asciiTheme="majorBidi" w:hAnsiTheme="majorBidi" w:cstheme="majorBidi"/>
          <w:bCs/>
          <w:sz w:val="24"/>
          <w:szCs w:val="24"/>
          <w:lang w:val="en-US"/>
        </w:rPr>
      </w:pPr>
      <w:r>
        <w:rPr>
          <w:rFonts w:eastAsia="Calibri" w:asciiTheme="majorBidi" w:hAnsiTheme="majorBidi" w:cstheme="majorBidi"/>
          <w:bCs/>
          <w:sz w:val="24"/>
          <w:szCs w:val="24"/>
          <w:lang w:val="en-US"/>
        </w:rPr>
        <w:t>A total of 120 participants were recruited: 60 children with pneumonia (cases) and 60 healthy controls matched by age and sex. Sample size was calculated based on anticipated effect sizes and statistical power considerations for detecting significant between-group differences.</w:t>
      </w:r>
    </w:p>
    <w:p w14:paraId="7D15B483">
      <w:pPr>
        <w:widowControl w:val="0"/>
        <w:autoSpaceDE w:val="0"/>
        <w:autoSpaceDN w:val="0"/>
        <w:adjustRightInd w:val="0"/>
        <w:spacing w:after="0" w:line="480" w:lineRule="auto"/>
        <w:jc w:val="both"/>
        <w:rPr>
          <w:rFonts w:eastAsia="Calibri" w:asciiTheme="majorBidi" w:hAnsiTheme="majorBidi" w:cstheme="majorBidi"/>
          <w:b/>
          <w:bCs/>
          <w:sz w:val="24"/>
          <w:szCs w:val="24"/>
          <w:lang w:val="en-US"/>
        </w:rPr>
      </w:pPr>
      <w:r>
        <w:rPr>
          <w:rFonts w:eastAsia="Calibri" w:asciiTheme="majorBidi" w:hAnsiTheme="majorBidi" w:cstheme="majorBidi"/>
          <w:b/>
          <w:bCs/>
          <w:sz w:val="24"/>
          <w:szCs w:val="24"/>
          <w:lang w:val="en-US"/>
        </w:rPr>
        <w:t>Data Collection</w:t>
      </w:r>
    </w:p>
    <w:p w14:paraId="44BB0232">
      <w:pPr>
        <w:widowControl w:val="0"/>
        <w:autoSpaceDE w:val="0"/>
        <w:autoSpaceDN w:val="0"/>
        <w:adjustRightInd w:val="0"/>
        <w:spacing w:after="0" w:line="480" w:lineRule="auto"/>
        <w:jc w:val="both"/>
        <w:rPr>
          <w:rFonts w:eastAsia="Calibri" w:asciiTheme="majorBidi" w:hAnsiTheme="majorBidi" w:cstheme="majorBidi"/>
          <w:b/>
          <w:bCs/>
          <w:sz w:val="24"/>
          <w:szCs w:val="24"/>
          <w:lang w:val="en-US"/>
        </w:rPr>
      </w:pPr>
      <w:r>
        <w:rPr>
          <w:rFonts w:eastAsia="Calibri" w:asciiTheme="majorBidi" w:hAnsiTheme="majorBidi" w:cstheme="majorBidi"/>
          <w:b/>
          <w:bCs/>
          <w:sz w:val="24"/>
          <w:szCs w:val="24"/>
          <w:lang w:val="en-US"/>
        </w:rPr>
        <w:t>Clinical Assessment</w:t>
      </w:r>
    </w:p>
    <w:p w14:paraId="555014B3">
      <w:pPr>
        <w:widowControl w:val="0"/>
        <w:autoSpaceDE w:val="0"/>
        <w:autoSpaceDN w:val="0"/>
        <w:adjustRightInd w:val="0"/>
        <w:spacing w:after="0" w:line="480" w:lineRule="auto"/>
        <w:jc w:val="both"/>
        <w:rPr>
          <w:rFonts w:eastAsia="Calibri" w:asciiTheme="majorBidi" w:hAnsiTheme="majorBidi" w:cstheme="majorBidi"/>
          <w:bCs/>
          <w:sz w:val="24"/>
          <w:szCs w:val="24"/>
          <w:lang w:val="en-US"/>
        </w:rPr>
      </w:pPr>
      <w:r>
        <w:rPr>
          <w:rFonts w:eastAsia="Calibri" w:asciiTheme="majorBidi" w:hAnsiTheme="majorBidi" w:cstheme="majorBidi"/>
          <w:bCs/>
          <w:sz w:val="24"/>
          <w:szCs w:val="24"/>
          <w:lang w:val="en-US"/>
        </w:rPr>
        <w:t>Comprehensive medical history and physical examination were performed for all participants. Clinical data included presenting symptoms, illness duration, vaccination status, hospital length of stay, intensive care unit (ICU) admission, mechanical ventilation requirements, and clinical outcomes.</w:t>
      </w:r>
    </w:p>
    <w:p w14:paraId="7C36FD60">
      <w:pPr>
        <w:widowControl w:val="0"/>
        <w:autoSpaceDE w:val="0"/>
        <w:autoSpaceDN w:val="0"/>
        <w:adjustRightInd w:val="0"/>
        <w:spacing w:after="0" w:line="480" w:lineRule="auto"/>
        <w:jc w:val="both"/>
        <w:rPr>
          <w:rFonts w:eastAsia="Calibri" w:asciiTheme="majorBidi" w:hAnsiTheme="majorBidi" w:cstheme="majorBidi"/>
          <w:b/>
          <w:bCs/>
          <w:sz w:val="24"/>
          <w:szCs w:val="24"/>
          <w:lang w:val="en-US"/>
        </w:rPr>
      </w:pPr>
      <w:r>
        <w:rPr>
          <w:rFonts w:eastAsia="Calibri" w:asciiTheme="majorBidi" w:hAnsiTheme="majorBidi" w:cstheme="majorBidi"/>
          <w:b/>
          <w:bCs/>
          <w:sz w:val="24"/>
          <w:szCs w:val="24"/>
          <w:lang w:val="en-US"/>
        </w:rPr>
        <w:t>Disease Severity Assessment</w:t>
      </w:r>
    </w:p>
    <w:p w14:paraId="64A350B9">
      <w:pPr>
        <w:widowControl w:val="0"/>
        <w:autoSpaceDE w:val="0"/>
        <w:autoSpaceDN w:val="0"/>
        <w:adjustRightInd w:val="0"/>
        <w:spacing w:after="0" w:line="480" w:lineRule="auto"/>
        <w:jc w:val="both"/>
        <w:rPr>
          <w:rFonts w:eastAsia="Calibri" w:asciiTheme="majorBidi" w:hAnsiTheme="majorBidi" w:cstheme="majorBidi"/>
          <w:bCs/>
          <w:sz w:val="24"/>
          <w:szCs w:val="24"/>
          <w:lang w:val="en-US"/>
        </w:rPr>
      </w:pPr>
      <w:r>
        <w:rPr>
          <w:rFonts w:eastAsia="Calibri" w:asciiTheme="majorBidi" w:hAnsiTheme="majorBidi" w:cstheme="majorBidi"/>
          <w:bCs/>
          <w:sz w:val="24"/>
          <w:szCs w:val="24"/>
          <w:lang w:val="en-US"/>
        </w:rPr>
        <w:t>Respiratory distress severity was evaluated using the Clinical Respiratory Score (CRS), incorporating six parameters: respiratory rate, auscultation findings, accessory muscle use, mental status, oxygen saturation, and color. Patients were classified as mild (≤3), moderate (4-7), or severe (8-12) based on total scores [7].</w:t>
      </w:r>
    </w:p>
    <w:p w14:paraId="685CA4FE">
      <w:pPr>
        <w:widowControl w:val="0"/>
        <w:autoSpaceDE w:val="0"/>
        <w:autoSpaceDN w:val="0"/>
        <w:adjustRightInd w:val="0"/>
        <w:spacing w:after="0" w:line="480" w:lineRule="auto"/>
        <w:jc w:val="both"/>
        <w:rPr>
          <w:rFonts w:eastAsia="Calibri" w:asciiTheme="majorBidi" w:hAnsiTheme="majorBidi" w:cstheme="majorBidi"/>
          <w:b/>
          <w:bCs/>
          <w:sz w:val="24"/>
          <w:szCs w:val="24"/>
          <w:lang w:val="en-US"/>
        </w:rPr>
      </w:pPr>
      <w:r>
        <w:rPr>
          <w:rFonts w:eastAsia="Calibri" w:asciiTheme="majorBidi" w:hAnsiTheme="majorBidi" w:cstheme="majorBidi"/>
          <w:b/>
          <w:bCs/>
          <w:sz w:val="24"/>
          <w:szCs w:val="24"/>
          <w:lang w:val="en-US"/>
        </w:rPr>
        <w:t>Laboratory Investigations</w:t>
      </w:r>
    </w:p>
    <w:p w14:paraId="453291AB">
      <w:pPr>
        <w:widowControl w:val="0"/>
        <w:autoSpaceDE w:val="0"/>
        <w:autoSpaceDN w:val="0"/>
        <w:adjustRightInd w:val="0"/>
        <w:spacing w:after="0" w:line="480" w:lineRule="auto"/>
        <w:jc w:val="both"/>
        <w:rPr>
          <w:rFonts w:eastAsia="Calibri" w:asciiTheme="majorBidi" w:hAnsiTheme="majorBidi" w:cstheme="majorBidi"/>
          <w:b/>
          <w:bCs/>
          <w:sz w:val="24"/>
          <w:szCs w:val="24"/>
          <w:lang w:val="en-US"/>
        </w:rPr>
      </w:pPr>
      <w:r>
        <w:rPr>
          <w:rFonts w:eastAsia="Calibri" w:asciiTheme="majorBidi" w:hAnsiTheme="majorBidi" w:cstheme="majorBidi"/>
          <w:b/>
          <w:bCs/>
          <w:sz w:val="24"/>
          <w:szCs w:val="24"/>
          <w:lang w:val="en-US"/>
        </w:rPr>
        <w:t>Routine Laboratory Tests</w:t>
      </w:r>
    </w:p>
    <w:p w14:paraId="400B2E74">
      <w:pPr>
        <w:widowControl w:val="0"/>
        <w:autoSpaceDE w:val="0"/>
        <w:autoSpaceDN w:val="0"/>
        <w:adjustRightInd w:val="0"/>
        <w:spacing w:after="0" w:line="480" w:lineRule="auto"/>
        <w:jc w:val="both"/>
        <w:rPr>
          <w:rFonts w:eastAsia="Calibri" w:asciiTheme="majorBidi" w:hAnsiTheme="majorBidi" w:cstheme="majorBidi"/>
          <w:bCs/>
          <w:sz w:val="24"/>
          <w:szCs w:val="24"/>
          <w:lang w:val="en-US"/>
        </w:rPr>
      </w:pPr>
      <w:r>
        <w:rPr>
          <w:rFonts w:eastAsia="Calibri" w:asciiTheme="majorBidi" w:hAnsiTheme="majorBidi" w:cstheme="majorBidi"/>
          <w:bCs/>
          <w:sz w:val="24"/>
          <w:szCs w:val="24"/>
          <w:lang w:val="en-US"/>
        </w:rPr>
        <w:t>Complete blood count, C-reactive protein (CRP), and chest X-ray were performed for all participants. Blood samples were collected in EDTA-anticoagulated tubes for hematological analysis.</w:t>
      </w:r>
    </w:p>
    <w:p w14:paraId="0801F01C">
      <w:pPr>
        <w:widowControl w:val="0"/>
        <w:autoSpaceDE w:val="0"/>
        <w:autoSpaceDN w:val="0"/>
        <w:adjustRightInd w:val="0"/>
        <w:spacing w:after="0" w:line="480" w:lineRule="auto"/>
        <w:jc w:val="both"/>
        <w:rPr>
          <w:rFonts w:eastAsia="Calibri" w:asciiTheme="majorBidi" w:hAnsiTheme="majorBidi" w:cstheme="majorBidi"/>
          <w:b/>
          <w:bCs/>
          <w:sz w:val="24"/>
          <w:szCs w:val="24"/>
          <w:lang w:val="en-US"/>
        </w:rPr>
      </w:pPr>
      <w:r>
        <w:rPr>
          <w:rFonts w:eastAsia="Calibri" w:asciiTheme="majorBidi" w:hAnsiTheme="majorBidi" w:cstheme="majorBidi"/>
          <w:b/>
          <w:bCs/>
          <w:sz w:val="24"/>
          <w:szCs w:val="24"/>
          <w:lang w:val="en-US"/>
        </w:rPr>
        <w:t>Flow Cytometric Analysis</w:t>
      </w:r>
    </w:p>
    <w:p w14:paraId="4D651F17">
      <w:pPr>
        <w:widowControl w:val="0"/>
        <w:autoSpaceDE w:val="0"/>
        <w:autoSpaceDN w:val="0"/>
        <w:adjustRightInd w:val="0"/>
        <w:spacing w:after="0" w:line="480" w:lineRule="auto"/>
        <w:jc w:val="both"/>
        <w:rPr>
          <w:rFonts w:eastAsia="Calibri" w:asciiTheme="majorBidi" w:hAnsiTheme="majorBidi" w:cstheme="majorBidi"/>
          <w:bCs/>
          <w:sz w:val="24"/>
          <w:szCs w:val="24"/>
          <w:lang w:val="en-US"/>
        </w:rPr>
      </w:pPr>
      <w:r>
        <w:rPr>
          <w:rFonts w:eastAsia="Calibri" w:asciiTheme="majorBidi" w:hAnsiTheme="majorBidi" w:cstheme="majorBidi"/>
          <w:bCs/>
          <w:sz w:val="24"/>
          <w:szCs w:val="24"/>
          <w:lang w:val="en-US"/>
        </w:rPr>
        <w:t>Neutrophil CD64 expression and was assessed using flow cytometry from 50μl whole blood samples. Cell differentiation was achieved through forward and side scatter gating, following standardized protocols.</w:t>
      </w:r>
    </w:p>
    <w:p w14:paraId="3B6682AF">
      <w:pPr>
        <w:widowControl w:val="0"/>
        <w:autoSpaceDE w:val="0"/>
        <w:autoSpaceDN w:val="0"/>
        <w:adjustRightInd w:val="0"/>
        <w:spacing w:after="0" w:line="480" w:lineRule="auto"/>
        <w:jc w:val="both"/>
        <w:rPr>
          <w:rFonts w:eastAsia="Calibri" w:asciiTheme="majorBidi" w:hAnsiTheme="majorBidi" w:cstheme="majorBidi"/>
          <w:b/>
          <w:bCs/>
          <w:sz w:val="24"/>
          <w:szCs w:val="24"/>
          <w:lang w:val="en-US"/>
        </w:rPr>
      </w:pPr>
      <w:r>
        <w:rPr>
          <w:rFonts w:eastAsia="Calibri" w:asciiTheme="majorBidi" w:hAnsiTheme="majorBidi" w:cstheme="majorBidi"/>
          <w:b/>
          <w:bCs/>
          <w:sz w:val="24"/>
          <w:szCs w:val="24"/>
          <w:lang w:val="en-US"/>
        </w:rPr>
        <w:t>Biomarker Analysis</w:t>
      </w:r>
    </w:p>
    <w:p w14:paraId="66B0386E">
      <w:pPr>
        <w:widowControl w:val="0"/>
        <w:autoSpaceDE w:val="0"/>
        <w:autoSpaceDN w:val="0"/>
        <w:adjustRightInd w:val="0"/>
        <w:spacing w:after="0" w:line="480" w:lineRule="auto"/>
        <w:jc w:val="both"/>
        <w:rPr>
          <w:rFonts w:eastAsia="Calibri" w:asciiTheme="majorBidi" w:hAnsiTheme="majorBidi" w:cstheme="majorBidi"/>
          <w:bCs/>
          <w:sz w:val="24"/>
          <w:szCs w:val="24"/>
          <w:lang w:val="en-US"/>
        </w:rPr>
      </w:pPr>
      <w:r>
        <w:rPr>
          <w:rFonts w:eastAsia="Calibri" w:asciiTheme="majorBidi" w:hAnsiTheme="majorBidi" w:cstheme="majorBidi"/>
          <w:bCs/>
          <w:sz w:val="24"/>
          <w:szCs w:val="24"/>
          <w:lang w:val="en-US"/>
        </w:rPr>
        <w:t>Neutrophil-to-monocyte CD64 ratio and neutrophil-to-lymphocyte CD64 ratio were calculated from flow cytometric data.</w:t>
      </w:r>
    </w:p>
    <w:p w14:paraId="1171D165">
      <w:pPr>
        <w:widowControl w:val="0"/>
        <w:autoSpaceDE w:val="0"/>
        <w:autoSpaceDN w:val="0"/>
        <w:adjustRightInd w:val="0"/>
        <w:spacing w:after="0" w:line="480" w:lineRule="auto"/>
        <w:jc w:val="both"/>
        <w:rPr>
          <w:rFonts w:eastAsia="Calibri" w:asciiTheme="majorBidi" w:hAnsiTheme="majorBidi" w:cstheme="majorBidi"/>
          <w:b/>
          <w:bCs/>
          <w:sz w:val="24"/>
          <w:szCs w:val="24"/>
          <w:lang w:val="en-US"/>
        </w:rPr>
      </w:pPr>
      <w:r>
        <w:rPr>
          <w:rFonts w:eastAsia="Calibri" w:asciiTheme="majorBidi" w:hAnsiTheme="majorBidi" w:cstheme="majorBidi"/>
          <w:b/>
          <w:bCs/>
          <w:sz w:val="24"/>
          <w:szCs w:val="24"/>
          <w:lang w:val="en-US"/>
        </w:rPr>
        <w:t>Statistical Analysis</w:t>
      </w:r>
    </w:p>
    <w:p w14:paraId="567AC5B7">
      <w:pPr>
        <w:widowControl w:val="0"/>
        <w:autoSpaceDE w:val="0"/>
        <w:autoSpaceDN w:val="0"/>
        <w:adjustRightInd w:val="0"/>
        <w:spacing w:after="0" w:line="480" w:lineRule="auto"/>
        <w:jc w:val="both"/>
        <w:rPr>
          <w:rFonts w:eastAsia="Calibri" w:asciiTheme="majorBidi" w:hAnsiTheme="majorBidi" w:cstheme="majorBidi"/>
          <w:bCs/>
          <w:sz w:val="24"/>
          <w:szCs w:val="24"/>
          <w:lang w:val="en-US"/>
        </w:rPr>
      </w:pPr>
      <w:r>
        <w:rPr>
          <w:rFonts w:eastAsia="Calibri" w:asciiTheme="majorBidi" w:hAnsiTheme="majorBidi" w:cstheme="majorBidi"/>
          <w:bCs/>
          <w:sz w:val="24"/>
          <w:szCs w:val="24"/>
          <w:lang w:val="en-US"/>
        </w:rPr>
        <w:t>Statistical analysis was performed using SPSS version 20.0 (SPSS Inc., Chicago, IL, USA). Continuous variables were expressed as mean ± standard deviation for normally distributed data or median and range for non-normally distributed data. Categorical variables were presented as frequencies and percentages.</w:t>
      </w:r>
    </w:p>
    <w:p w14:paraId="3EFFD5E5">
      <w:pPr>
        <w:widowControl w:val="0"/>
        <w:autoSpaceDE w:val="0"/>
        <w:autoSpaceDN w:val="0"/>
        <w:adjustRightInd w:val="0"/>
        <w:spacing w:after="0" w:line="480" w:lineRule="auto"/>
        <w:jc w:val="both"/>
        <w:rPr>
          <w:rFonts w:eastAsia="Calibri" w:asciiTheme="majorBidi" w:hAnsiTheme="majorBidi" w:cstheme="majorBidi"/>
          <w:bCs/>
          <w:sz w:val="24"/>
          <w:szCs w:val="24"/>
          <w:lang w:val="en-US"/>
        </w:rPr>
      </w:pPr>
      <w:r>
        <w:rPr>
          <w:rFonts w:eastAsia="Calibri" w:asciiTheme="majorBidi" w:hAnsiTheme="majorBidi" w:cstheme="majorBidi"/>
          <w:bCs/>
          <w:sz w:val="24"/>
          <w:szCs w:val="24"/>
          <w:lang w:val="en-US"/>
        </w:rPr>
        <w:t>Between-group comparisons were performed using Student's t-test for normally distributed continuous variables and Mann-Whitney U test for non-normally distributed data. Chi-square test or Fisher's exact test (when expected frequency &lt;5) was used for categorical variables. One-way ANOVA was employed for multiple group comparisons. Correlation analysis was conducted using Pearson correlation coefficient. Receiver operating characteristic (ROC) curve analysis was performed to evaluate the diagnostic performance of biomarkers for predicting pediatric pneumonia. Statistical significance was set at p&lt;0.05 (two-tailed).</w:t>
      </w:r>
    </w:p>
    <w:p w14:paraId="77BD98EA">
      <w:pPr>
        <w:widowControl w:val="0"/>
        <w:autoSpaceDE w:val="0"/>
        <w:autoSpaceDN w:val="0"/>
        <w:adjustRightInd w:val="0"/>
        <w:spacing w:after="0" w:line="480" w:lineRule="auto"/>
        <w:jc w:val="both"/>
        <w:rPr>
          <w:rFonts w:eastAsia="Calibri" w:asciiTheme="majorBidi" w:hAnsiTheme="majorBidi" w:cstheme="majorBidi"/>
          <w:b/>
          <w:bCs/>
          <w:sz w:val="24"/>
          <w:szCs w:val="24"/>
          <w:lang w:val="en-US"/>
        </w:rPr>
      </w:pPr>
      <w:r>
        <w:rPr>
          <w:rFonts w:eastAsia="Calibri" w:asciiTheme="majorBidi" w:hAnsiTheme="majorBidi" w:cstheme="majorBidi"/>
          <w:b/>
          <w:bCs/>
          <w:sz w:val="24"/>
          <w:szCs w:val="24"/>
          <w:lang w:val="en-US"/>
        </w:rPr>
        <w:t>Ethical Considerations</w:t>
      </w:r>
    </w:p>
    <w:p w14:paraId="3FA04A56">
      <w:pPr>
        <w:widowControl w:val="0"/>
        <w:autoSpaceDE w:val="0"/>
        <w:autoSpaceDN w:val="0"/>
        <w:adjustRightInd w:val="0"/>
        <w:spacing w:after="0" w:line="480" w:lineRule="auto"/>
        <w:jc w:val="both"/>
        <w:rPr>
          <w:rFonts w:eastAsia="Calibri" w:asciiTheme="majorBidi" w:hAnsiTheme="majorBidi" w:cstheme="majorBidi"/>
          <w:bCs/>
          <w:sz w:val="24"/>
          <w:szCs w:val="24"/>
          <w:lang w:val="en-US"/>
        </w:rPr>
      </w:pPr>
      <w:r>
        <w:rPr>
          <w:rFonts w:eastAsia="Calibri" w:asciiTheme="majorBidi" w:hAnsiTheme="majorBidi" w:cstheme="majorBidi"/>
          <w:bCs/>
          <w:sz w:val="24"/>
          <w:szCs w:val="24"/>
          <w:lang w:val="en-US"/>
        </w:rPr>
        <w:t>The study was conducted in accordance with the Declaration of Helsinki. All patient data remained strictly confidential, and comprehensive information regarding study procedures was provided to guardians prior to obtaining informed consent.</w:t>
      </w:r>
    </w:p>
    <w:p w14:paraId="03508C81">
      <w:pPr>
        <w:widowControl w:val="0"/>
        <w:autoSpaceDE w:val="0"/>
        <w:autoSpaceDN w:val="0"/>
        <w:adjustRightInd w:val="0"/>
        <w:spacing w:after="0" w:line="480" w:lineRule="auto"/>
        <w:jc w:val="both"/>
        <w:rPr>
          <w:rFonts w:eastAsia="Calibri" w:asciiTheme="majorBidi" w:hAnsiTheme="majorBidi" w:cstheme="majorBidi"/>
          <w:bCs/>
          <w:sz w:val="24"/>
          <w:szCs w:val="24"/>
          <w:lang w:val="en-US"/>
        </w:rPr>
      </w:pPr>
    </w:p>
    <w:p w14:paraId="442ADA60">
      <w:pPr>
        <w:widowControl w:val="0"/>
        <w:autoSpaceDE w:val="0"/>
        <w:autoSpaceDN w:val="0"/>
        <w:adjustRightInd w:val="0"/>
        <w:spacing w:after="0" w:line="480" w:lineRule="auto"/>
        <w:jc w:val="both"/>
        <w:rPr>
          <w:rFonts w:eastAsia="Calibri" w:asciiTheme="majorBidi" w:hAnsiTheme="majorBidi" w:cstheme="majorBidi"/>
          <w:bCs/>
          <w:sz w:val="24"/>
          <w:szCs w:val="24"/>
          <w:lang w:val="en-US"/>
        </w:rPr>
      </w:pPr>
    </w:p>
    <w:p w14:paraId="3B08607B">
      <w:pPr>
        <w:widowControl w:val="0"/>
        <w:autoSpaceDE w:val="0"/>
        <w:autoSpaceDN w:val="0"/>
        <w:adjustRightInd w:val="0"/>
        <w:spacing w:after="0" w:line="480" w:lineRule="auto"/>
        <w:jc w:val="both"/>
        <w:rPr>
          <w:rFonts w:eastAsia="Calibri" w:asciiTheme="minorBidi" w:hAnsiTheme="minorBidi"/>
          <w:bCs/>
          <w:lang w:val="en-US"/>
        </w:rPr>
      </w:pPr>
    </w:p>
    <w:p w14:paraId="4B6A23BA">
      <w:pPr>
        <w:widowControl w:val="0"/>
        <w:autoSpaceDE w:val="0"/>
        <w:autoSpaceDN w:val="0"/>
        <w:adjustRightInd w:val="0"/>
        <w:spacing w:after="0" w:line="480" w:lineRule="auto"/>
        <w:jc w:val="both"/>
        <w:rPr>
          <w:rFonts w:eastAsia="Calibri" w:asciiTheme="minorBidi" w:hAnsiTheme="minorBidi"/>
          <w:bCs/>
          <w:lang w:val="en-US"/>
        </w:rPr>
      </w:pPr>
    </w:p>
    <w:p w14:paraId="41E976A1">
      <w:pPr>
        <w:widowControl w:val="0"/>
        <w:autoSpaceDE w:val="0"/>
        <w:autoSpaceDN w:val="0"/>
        <w:adjustRightInd w:val="0"/>
        <w:spacing w:after="0" w:line="480" w:lineRule="auto"/>
        <w:jc w:val="both"/>
        <w:rPr>
          <w:rFonts w:eastAsia="Calibri" w:asciiTheme="minorBidi" w:hAnsiTheme="minorBidi"/>
          <w:bCs/>
          <w:lang w:val="en-US"/>
        </w:rPr>
      </w:pPr>
    </w:p>
    <w:p w14:paraId="3478D315">
      <w:pPr>
        <w:widowControl w:val="0"/>
        <w:autoSpaceDE w:val="0"/>
        <w:autoSpaceDN w:val="0"/>
        <w:adjustRightInd w:val="0"/>
        <w:spacing w:after="0" w:line="480" w:lineRule="auto"/>
        <w:jc w:val="both"/>
        <w:rPr>
          <w:rFonts w:eastAsia="Calibri" w:asciiTheme="minorBidi" w:hAnsiTheme="minorBidi"/>
          <w:bCs/>
          <w:lang w:val="en-US"/>
        </w:rPr>
      </w:pPr>
    </w:p>
    <w:p w14:paraId="1A46A93E">
      <w:pPr>
        <w:widowControl w:val="0"/>
        <w:autoSpaceDE w:val="0"/>
        <w:autoSpaceDN w:val="0"/>
        <w:adjustRightInd w:val="0"/>
        <w:spacing w:after="0" w:line="480" w:lineRule="auto"/>
        <w:jc w:val="both"/>
        <w:rPr>
          <w:rFonts w:eastAsia="Calibri" w:asciiTheme="minorBidi" w:hAnsiTheme="minorBidi"/>
          <w:bCs/>
          <w:lang w:val="en-US"/>
        </w:rPr>
      </w:pPr>
    </w:p>
    <w:p w14:paraId="23D7767C">
      <w:pPr>
        <w:widowControl w:val="0"/>
        <w:autoSpaceDE w:val="0"/>
        <w:autoSpaceDN w:val="0"/>
        <w:adjustRightInd w:val="0"/>
        <w:spacing w:after="0" w:line="480" w:lineRule="auto"/>
        <w:jc w:val="both"/>
        <w:rPr>
          <w:rFonts w:eastAsia="Calibri" w:asciiTheme="minorBidi" w:hAnsiTheme="minorBidi"/>
          <w:bCs/>
          <w:lang w:val="en-US"/>
        </w:rPr>
      </w:pPr>
    </w:p>
    <w:p w14:paraId="5A8BD372">
      <w:pPr>
        <w:widowControl w:val="0"/>
        <w:autoSpaceDE w:val="0"/>
        <w:autoSpaceDN w:val="0"/>
        <w:adjustRightInd w:val="0"/>
        <w:spacing w:after="0" w:line="480" w:lineRule="auto"/>
        <w:jc w:val="both"/>
        <w:rPr>
          <w:rFonts w:eastAsia="Calibri" w:asciiTheme="minorBidi" w:hAnsiTheme="minorBidi"/>
          <w:bCs/>
          <w:lang w:val="en-US"/>
        </w:rPr>
      </w:pPr>
    </w:p>
    <w:p w14:paraId="3E7A8DEE">
      <w:pPr>
        <w:widowControl w:val="0"/>
        <w:autoSpaceDE w:val="0"/>
        <w:autoSpaceDN w:val="0"/>
        <w:adjustRightInd w:val="0"/>
        <w:spacing w:after="0" w:line="480" w:lineRule="auto"/>
        <w:jc w:val="both"/>
        <w:rPr>
          <w:rFonts w:eastAsia="Calibri" w:asciiTheme="minorBidi" w:hAnsiTheme="minorBidi"/>
          <w:bCs/>
          <w:lang w:val="en-US"/>
        </w:rPr>
      </w:pPr>
    </w:p>
    <w:p w14:paraId="50561545">
      <w:pPr>
        <w:widowControl w:val="0"/>
        <w:autoSpaceDE w:val="0"/>
        <w:autoSpaceDN w:val="0"/>
        <w:adjustRightInd w:val="0"/>
        <w:spacing w:after="0" w:line="480" w:lineRule="auto"/>
        <w:jc w:val="both"/>
        <w:rPr>
          <w:rFonts w:eastAsia="Calibri" w:asciiTheme="minorBidi" w:hAnsiTheme="minorBidi"/>
          <w:bCs/>
          <w:lang w:val="en-US"/>
        </w:rPr>
      </w:pPr>
    </w:p>
    <w:p w14:paraId="75D3B110">
      <w:pPr>
        <w:widowControl w:val="0"/>
        <w:autoSpaceDE w:val="0"/>
        <w:autoSpaceDN w:val="0"/>
        <w:adjustRightInd w:val="0"/>
        <w:spacing w:after="0" w:line="480" w:lineRule="auto"/>
        <w:jc w:val="both"/>
        <w:rPr>
          <w:rFonts w:eastAsia="Calibri" w:asciiTheme="minorBidi" w:hAnsiTheme="minorBidi"/>
          <w:bCs/>
          <w:lang w:val="en-US"/>
        </w:rPr>
      </w:pPr>
      <w:bookmarkStart w:id="0" w:name="_GoBack"/>
      <w:bookmarkEnd w:id="0"/>
    </w:p>
    <w:p w14:paraId="413B9F52">
      <w:pPr>
        <w:widowControl w:val="0"/>
        <w:autoSpaceDE w:val="0"/>
        <w:autoSpaceDN w:val="0"/>
        <w:adjustRightInd w:val="0"/>
        <w:spacing w:after="0" w:line="480" w:lineRule="auto"/>
        <w:jc w:val="both"/>
        <w:rPr>
          <w:rFonts w:asciiTheme="minorBidi" w:hAnsiTheme="minorBidi"/>
          <w:b/>
          <w:bCs/>
          <w:caps/>
        </w:rPr>
      </w:pPr>
      <w:r>
        <w:rPr>
          <w:rFonts w:asciiTheme="minorBidi" w:hAnsiTheme="minorBidi"/>
          <w:b/>
          <w:bCs/>
        </w:rPr>
        <w:t>Results</w:t>
      </w:r>
    </w:p>
    <w:p w14:paraId="275BDDA3">
      <w:pPr>
        <w:spacing w:before="100" w:beforeAutospacing="1" w:after="100" w:afterAutospacing="1" w:line="48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Table 1 shows the demographic characteristics, clinical features, laboratory parameters, and non-classic biomarkers among pediatric pneumonia cases and controls. Cases had significantly higher rural residence (73% vs. 37%, p&lt;0.001) and lower vitamin supplementation (46.6% vs. 73%, p=0.002) compared to controls. Vital signs demonstrated significant differences, with cases showing tachycardia (150.97±25.81 vs. 139.00±9.19 beats/min, p=0.001), tachypnea (47.83±9.89 vs. 44.07±8.80 cycles/min, p=0.03), fever (38.23±0.48°C vs. 37.50±0.46°C, p&lt;0.001), and hypoxemia (88.98±7.33% vs. 95.90±1.54%, p&lt;0.001). Hematological parameters showed leukocytosis in cases (WBCs 14233.08±4698.30/L vs. 9993.58±3287.02/L, p&lt;0.001) with thrombocytopenia (317666.66±104715.05/L vs. 468050.00±221943.75/L, p&lt;0.001). CRP was markedly elevated in cases (45.06±44.31 mg/L vs. 3.60±8.58 mg/L, p&lt;0.001). Hypoproteinemia and hypoalbuminemia were observed in pneumonia patients (p&lt;0.001 and p=0.004, respectively).</w:t>
      </w:r>
    </w:p>
    <w:p w14:paraId="0A528FAF">
      <w:pPr>
        <w:spacing w:before="100" w:beforeAutospacing="1" w:after="100" w:afterAutospacing="1" w:line="48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Among non-classic biomarkers, Neutrophil CD64-FITC expression and CD64 ratios (neutrophil-to-monocyte and neutrophil-to-lymphocyte) were significantly higher in cases (all p&lt;0.001). Nearly half of pneumonia cases required ICU admission (46.7%), with 41.6% requiring mechanical ventilation and 6.7% mortality.</w:t>
      </w:r>
    </w:p>
    <w:p w14:paraId="1C5EDB68">
      <w:pPr>
        <w:spacing w:before="100" w:beforeAutospacing="1" w:after="100" w:afterAutospacing="1" w:line="240" w:lineRule="auto"/>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Table 1. Demographic, Clinical Characteristics, Laboratory Parameters</w:t>
      </w:r>
      <w:r>
        <w:rPr>
          <w:lang w:val="en-US"/>
        </w:rPr>
        <w:t xml:space="preserve"> </w:t>
      </w:r>
      <w:r>
        <w:rPr>
          <w:rFonts w:ascii="Times New Roman" w:hAnsi="Times New Roman" w:eastAsia="Times New Roman" w:cs="Times New Roman"/>
          <w:b/>
          <w:bCs/>
          <w:sz w:val="24"/>
          <w:szCs w:val="24"/>
          <w:lang w:val="en-US"/>
        </w:rPr>
        <w:t>and Non-Classic Biomarkers among Pediatric Pneumonia Cases and Controls</w:t>
      </w:r>
    </w:p>
    <w:tbl>
      <w:tblPr>
        <w:tblStyle w:val="8"/>
        <w:tblW w:w="0" w:type="auto"/>
        <w:tblCellSpacing w:w="15" w:type="dxa"/>
        <w:tblInd w:w="0" w:type="dxa"/>
        <w:tblLayout w:type="autofit"/>
        <w:tblCellMar>
          <w:top w:w="15" w:type="dxa"/>
          <w:left w:w="15" w:type="dxa"/>
          <w:bottom w:w="15" w:type="dxa"/>
          <w:right w:w="15" w:type="dxa"/>
        </w:tblCellMar>
      </w:tblPr>
      <w:tblGrid>
        <w:gridCol w:w="3321"/>
        <w:gridCol w:w="2690"/>
        <w:gridCol w:w="2477"/>
        <w:gridCol w:w="30"/>
        <w:gridCol w:w="872"/>
      </w:tblGrid>
      <w:tr w14:paraId="491322E1">
        <w:tblPrEx>
          <w:tblCellMar>
            <w:top w:w="15" w:type="dxa"/>
            <w:left w:w="15" w:type="dxa"/>
            <w:bottom w:w="15" w:type="dxa"/>
            <w:right w:w="15" w:type="dxa"/>
          </w:tblCellMar>
        </w:tblPrEx>
        <w:trPr>
          <w:tblCellSpacing w:w="15" w:type="dxa"/>
        </w:trPr>
        <w:tc>
          <w:tcPr>
            <w:tcW w:w="3276" w:type="dxa"/>
            <w:tcBorders>
              <w:top w:val="single" w:color="auto" w:sz="18" w:space="0"/>
              <w:bottom w:val="single" w:color="auto" w:sz="18" w:space="0"/>
            </w:tcBorders>
            <w:vAlign w:val="center"/>
          </w:tcPr>
          <w:p w14:paraId="7E13EC69">
            <w:pPr>
              <w:spacing w:after="0" w:line="240" w:lineRule="auto"/>
              <w:jc w:val="center"/>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Characteristic</w:t>
            </w:r>
          </w:p>
        </w:tc>
        <w:tc>
          <w:tcPr>
            <w:tcW w:w="2660" w:type="dxa"/>
            <w:tcBorders>
              <w:top w:val="single" w:color="auto" w:sz="18" w:space="0"/>
              <w:bottom w:val="single" w:color="auto" w:sz="18" w:space="0"/>
            </w:tcBorders>
            <w:vAlign w:val="center"/>
          </w:tcPr>
          <w:p w14:paraId="5D616ADC">
            <w:pPr>
              <w:spacing w:after="0" w:line="240" w:lineRule="auto"/>
              <w:jc w:val="center"/>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Controls (n=60)</w:t>
            </w:r>
          </w:p>
        </w:tc>
        <w:tc>
          <w:tcPr>
            <w:tcW w:w="2447" w:type="dxa"/>
            <w:tcBorders>
              <w:top w:val="single" w:color="auto" w:sz="18" w:space="0"/>
              <w:bottom w:val="single" w:color="auto" w:sz="18" w:space="0"/>
            </w:tcBorders>
            <w:vAlign w:val="center"/>
          </w:tcPr>
          <w:p w14:paraId="7D4D575B">
            <w:pPr>
              <w:spacing w:after="0" w:line="240" w:lineRule="auto"/>
              <w:jc w:val="center"/>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Cases (n=60)</w:t>
            </w:r>
          </w:p>
        </w:tc>
        <w:tc>
          <w:tcPr>
            <w:tcW w:w="0" w:type="auto"/>
            <w:gridSpan w:val="2"/>
            <w:tcBorders>
              <w:top w:val="single" w:color="auto" w:sz="18" w:space="0"/>
              <w:bottom w:val="single" w:color="auto" w:sz="18" w:space="0"/>
            </w:tcBorders>
            <w:vAlign w:val="center"/>
          </w:tcPr>
          <w:p w14:paraId="1B1D2B4E">
            <w:pPr>
              <w:spacing w:after="0" w:line="240" w:lineRule="auto"/>
              <w:jc w:val="center"/>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p-value</w:t>
            </w:r>
          </w:p>
        </w:tc>
      </w:tr>
      <w:tr w14:paraId="2CA4956A">
        <w:tblPrEx>
          <w:tblCellMar>
            <w:top w:w="15" w:type="dxa"/>
            <w:left w:w="15" w:type="dxa"/>
            <w:bottom w:w="15" w:type="dxa"/>
            <w:right w:w="15" w:type="dxa"/>
          </w:tblCellMar>
        </w:tblPrEx>
        <w:trPr>
          <w:tblCellSpacing w:w="15" w:type="dxa"/>
        </w:trPr>
        <w:tc>
          <w:tcPr>
            <w:tcW w:w="3276" w:type="dxa"/>
            <w:vAlign w:val="center"/>
          </w:tcPr>
          <w:p w14:paraId="7E2DFFE1">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Demographic characteristics</w:t>
            </w:r>
          </w:p>
        </w:tc>
        <w:tc>
          <w:tcPr>
            <w:tcW w:w="2660" w:type="dxa"/>
            <w:vAlign w:val="center"/>
          </w:tcPr>
          <w:p w14:paraId="45BE5B64">
            <w:pPr>
              <w:spacing w:after="0" w:line="240" w:lineRule="auto"/>
              <w:jc w:val="center"/>
              <w:rPr>
                <w:rFonts w:ascii="Times New Roman" w:hAnsi="Times New Roman" w:eastAsia="Times New Roman" w:cs="Times New Roman"/>
                <w:sz w:val="24"/>
                <w:szCs w:val="24"/>
                <w:lang w:val="en-US"/>
              </w:rPr>
            </w:pPr>
          </w:p>
        </w:tc>
        <w:tc>
          <w:tcPr>
            <w:tcW w:w="2447" w:type="dxa"/>
            <w:vAlign w:val="center"/>
          </w:tcPr>
          <w:p w14:paraId="32C4E086">
            <w:pPr>
              <w:spacing w:after="0" w:line="240" w:lineRule="auto"/>
              <w:jc w:val="center"/>
              <w:rPr>
                <w:rFonts w:ascii="Times New Roman" w:hAnsi="Times New Roman" w:eastAsia="Times New Roman" w:cs="Times New Roman"/>
                <w:sz w:val="20"/>
                <w:szCs w:val="20"/>
                <w:lang w:val="en-US"/>
              </w:rPr>
            </w:pPr>
          </w:p>
        </w:tc>
        <w:tc>
          <w:tcPr>
            <w:tcW w:w="0" w:type="auto"/>
            <w:gridSpan w:val="2"/>
            <w:vAlign w:val="center"/>
          </w:tcPr>
          <w:p w14:paraId="45E63C50">
            <w:pPr>
              <w:spacing w:after="0" w:line="240" w:lineRule="auto"/>
              <w:jc w:val="center"/>
              <w:rPr>
                <w:rFonts w:ascii="Times New Roman" w:hAnsi="Times New Roman" w:eastAsia="Times New Roman" w:cs="Times New Roman"/>
                <w:sz w:val="20"/>
                <w:szCs w:val="20"/>
                <w:lang w:val="en-US"/>
              </w:rPr>
            </w:pPr>
          </w:p>
        </w:tc>
      </w:tr>
      <w:tr w14:paraId="11835DB4">
        <w:tblPrEx>
          <w:tblCellMar>
            <w:top w:w="15" w:type="dxa"/>
            <w:left w:w="15" w:type="dxa"/>
            <w:bottom w:w="15" w:type="dxa"/>
            <w:right w:w="15" w:type="dxa"/>
          </w:tblCellMar>
        </w:tblPrEx>
        <w:trPr>
          <w:tblCellSpacing w:w="15" w:type="dxa"/>
        </w:trPr>
        <w:tc>
          <w:tcPr>
            <w:tcW w:w="3276" w:type="dxa"/>
            <w:vAlign w:val="center"/>
          </w:tcPr>
          <w:p w14:paraId="4104E0DE">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Gender, n (%)</w:t>
            </w:r>
          </w:p>
        </w:tc>
        <w:tc>
          <w:tcPr>
            <w:tcW w:w="2660" w:type="dxa"/>
            <w:vAlign w:val="center"/>
          </w:tcPr>
          <w:p w14:paraId="73338AEC">
            <w:pPr>
              <w:spacing w:after="0" w:line="240" w:lineRule="auto"/>
              <w:jc w:val="center"/>
              <w:rPr>
                <w:rFonts w:ascii="Times New Roman" w:hAnsi="Times New Roman" w:eastAsia="Times New Roman" w:cs="Times New Roman"/>
                <w:sz w:val="24"/>
                <w:szCs w:val="24"/>
                <w:lang w:val="en-US"/>
              </w:rPr>
            </w:pPr>
          </w:p>
        </w:tc>
        <w:tc>
          <w:tcPr>
            <w:tcW w:w="2447" w:type="dxa"/>
            <w:vAlign w:val="center"/>
          </w:tcPr>
          <w:p w14:paraId="1B657D9E">
            <w:pPr>
              <w:spacing w:after="0" w:line="240" w:lineRule="auto"/>
              <w:jc w:val="center"/>
              <w:rPr>
                <w:rFonts w:ascii="Times New Roman" w:hAnsi="Times New Roman" w:eastAsia="Times New Roman" w:cs="Times New Roman"/>
                <w:sz w:val="20"/>
                <w:szCs w:val="20"/>
                <w:lang w:val="en-US"/>
              </w:rPr>
            </w:pPr>
          </w:p>
        </w:tc>
        <w:tc>
          <w:tcPr>
            <w:tcW w:w="0" w:type="auto"/>
            <w:gridSpan w:val="2"/>
            <w:vAlign w:val="center"/>
          </w:tcPr>
          <w:p w14:paraId="1F90CFDF">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0.202</w:t>
            </w:r>
          </w:p>
        </w:tc>
      </w:tr>
      <w:tr w14:paraId="3CDBAB59">
        <w:tblPrEx>
          <w:tblCellMar>
            <w:top w:w="15" w:type="dxa"/>
            <w:left w:w="15" w:type="dxa"/>
            <w:bottom w:w="15" w:type="dxa"/>
            <w:right w:w="15" w:type="dxa"/>
          </w:tblCellMar>
        </w:tblPrEx>
        <w:trPr>
          <w:tblCellSpacing w:w="15" w:type="dxa"/>
        </w:trPr>
        <w:tc>
          <w:tcPr>
            <w:tcW w:w="3276" w:type="dxa"/>
            <w:vAlign w:val="center"/>
          </w:tcPr>
          <w:p w14:paraId="77AE8500">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Male</w:t>
            </w:r>
          </w:p>
        </w:tc>
        <w:tc>
          <w:tcPr>
            <w:tcW w:w="2660" w:type="dxa"/>
            <w:vAlign w:val="center"/>
          </w:tcPr>
          <w:p w14:paraId="7D313D31">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42 (70.0)</w:t>
            </w:r>
          </w:p>
        </w:tc>
        <w:tc>
          <w:tcPr>
            <w:tcW w:w="2447" w:type="dxa"/>
            <w:vAlign w:val="center"/>
          </w:tcPr>
          <w:p w14:paraId="65058C17">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47 (78.3)</w:t>
            </w:r>
          </w:p>
        </w:tc>
        <w:tc>
          <w:tcPr>
            <w:tcW w:w="0" w:type="auto"/>
            <w:gridSpan w:val="2"/>
            <w:vAlign w:val="center"/>
          </w:tcPr>
          <w:p w14:paraId="20DC41F9">
            <w:pPr>
              <w:spacing w:after="0" w:line="240" w:lineRule="auto"/>
              <w:jc w:val="center"/>
              <w:rPr>
                <w:rFonts w:ascii="Times New Roman" w:hAnsi="Times New Roman" w:eastAsia="Times New Roman" w:cs="Times New Roman"/>
                <w:sz w:val="24"/>
                <w:szCs w:val="24"/>
                <w:lang w:val="en-US"/>
              </w:rPr>
            </w:pPr>
          </w:p>
        </w:tc>
      </w:tr>
      <w:tr w14:paraId="5FD7CA43">
        <w:tblPrEx>
          <w:tblCellMar>
            <w:top w:w="15" w:type="dxa"/>
            <w:left w:w="15" w:type="dxa"/>
            <w:bottom w:w="15" w:type="dxa"/>
            <w:right w:w="15" w:type="dxa"/>
          </w:tblCellMar>
        </w:tblPrEx>
        <w:trPr>
          <w:tblCellSpacing w:w="15" w:type="dxa"/>
        </w:trPr>
        <w:tc>
          <w:tcPr>
            <w:tcW w:w="3276" w:type="dxa"/>
            <w:vAlign w:val="center"/>
          </w:tcPr>
          <w:p w14:paraId="52495085">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Female</w:t>
            </w:r>
          </w:p>
        </w:tc>
        <w:tc>
          <w:tcPr>
            <w:tcW w:w="2660" w:type="dxa"/>
            <w:vAlign w:val="center"/>
          </w:tcPr>
          <w:p w14:paraId="61A2DA54">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18 (30.0)</w:t>
            </w:r>
          </w:p>
        </w:tc>
        <w:tc>
          <w:tcPr>
            <w:tcW w:w="2447" w:type="dxa"/>
            <w:vAlign w:val="center"/>
          </w:tcPr>
          <w:p w14:paraId="3F9EA474">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13 (21.7)</w:t>
            </w:r>
          </w:p>
        </w:tc>
        <w:tc>
          <w:tcPr>
            <w:tcW w:w="0" w:type="auto"/>
            <w:gridSpan w:val="2"/>
            <w:vAlign w:val="center"/>
          </w:tcPr>
          <w:p w14:paraId="4417CB1C">
            <w:pPr>
              <w:spacing w:after="0" w:line="240" w:lineRule="auto"/>
              <w:jc w:val="center"/>
              <w:rPr>
                <w:rFonts w:ascii="Times New Roman" w:hAnsi="Times New Roman" w:eastAsia="Times New Roman" w:cs="Times New Roman"/>
                <w:sz w:val="24"/>
                <w:szCs w:val="24"/>
                <w:lang w:val="en-US"/>
              </w:rPr>
            </w:pPr>
          </w:p>
        </w:tc>
      </w:tr>
      <w:tr w14:paraId="6A8AE79B">
        <w:tblPrEx>
          <w:tblCellMar>
            <w:top w:w="15" w:type="dxa"/>
            <w:left w:w="15" w:type="dxa"/>
            <w:bottom w:w="15" w:type="dxa"/>
            <w:right w:w="15" w:type="dxa"/>
          </w:tblCellMar>
        </w:tblPrEx>
        <w:trPr>
          <w:tblCellSpacing w:w="15" w:type="dxa"/>
        </w:trPr>
        <w:tc>
          <w:tcPr>
            <w:tcW w:w="3276" w:type="dxa"/>
            <w:vAlign w:val="center"/>
          </w:tcPr>
          <w:p w14:paraId="7477450D">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Age in months</w:t>
            </w:r>
            <w:r>
              <w:rPr>
                <w:rFonts w:ascii="Times New Roman" w:hAnsi="Times New Roman" w:eastAsia="Times New Roman" w:cs="Times New Roman"/>
                <w:sz w:val="24"/>
                <w:szCs w:val="24"/>
                <w:lang w:val="en-US"/>
              </w:rPr>
              <w:t>, mean ± SD</w:t>
            </w:r>
          </w:p>
        </w:tc>
        <w:tc>
          <w:tcPr>
            <w:tcW w:w="2660" w:type="dxa"/>
            <w:vAlign w:val="center"/>
          </w:tcPr>
          <w:p w14:paraId="1EA10653">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38.13 ± 10.96</w:t>
            </w:r>
          </w:p>
        </w:tc>
        <w:tc>
          <w:tcPr>
            <w:tcW w:w="2447" w:type="dxa"/>
            <w:vAlign w:val="center"/>
          </w:tcPr>
          <w:p w14:paraId="227C68B5">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37.27 ± 11.49</w:t>
            </w:r>
          </w:p>
        </w:tc>
        <w:tc>
          <w:tcPr>
            <w:tcW w:w="0" w:type="auto"/>
            <w:gridSpan w:val="2"/>
            <w:vAlign w:val="center"/>
          </w:tcPr>
          <w:p w14:paraId="19C9B755">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0.676</w:t>
            </w:r>
          </w:p>
        </w:tc>
      </w:tr>
      <w:tr w14:paraId="61F604D1">
        <w:tblPrEx>
          <w:tblCellMar>
            <w:top w:w="15" w:type="dxa"/>
            <w:left w:w="15" w:type="dxa"/>
            <w:bottom w:w="15" w:type="dxa"/>
            <w:right w:w="15" w:type="dxa"/>
          </w:tblCellMar>
        </w:tblPrEx>
        <w:trPr>
          <w:tblCellSpacing w:w="15" w:type="dxa"/>
        </w:trPr>
        <w:tc>
          <w:tcPr>
            <w:tcW w:w="3276" w:type="dxa"/>
            <w:vAlign w:val="center"/>
          </w:tcPr>
          <w:p w14:paraId="6DE41A32">
            <w:pPr>
              <w:spacing w:after="0" w:line="240" w:lineRule="auto"/>
              <w:rPr>
                <w:rFonts w:ascii="Times New Roman" w:hAnsi="Times New Roman" w:eastAsia="Times New Roman" w:cs="Times New Roman"/>
                <w:sz w:val="24"/>
                <w:szCs w:val="24"/>
                <w:highlight w:val="yellow"/>
                <w:lang w:val="en-US"/>
              </w:rPr>
            </w:pPr>
            <w:r>
              <w:rPr>
                <w:rFonts w:ascii="Times New Roman" w:hAnsi="Times New Roman" w:eastAsia="Times New Roman" w:cs="Times New Roman"/>
                <w:b/>
                <w:bCs/>
                <w:sz w:val="24"/>
                <w:szCs w:val="24"/>
                <w:highlight w:val="yellow"/>
                <w:lang w:val="en-US"/>
              </w:rPr>
              <w:t>Residence, n (%)</w:t>
            </w:r>
          </w:p>
        </w:tc>
        <w:tc>
          <w:tcPr>
            <w:tcW w:w="2660" w:type="dxa"/>
            <w:vAlign w:val="center"/>
          </w:tcPr>
          <w:p w14:paraId="62CDD7CA">
            <w:pPr>
              <w:spacing w:after="0" w:line="240" w:lineRule="auto"/>
              <w:jc w:val="center"/>
              <w:rPr>
                <w:rFonts w:ascii="Times New Roman" w:hAnsi="Times New Roman" w:eastAsia="Times New Roman" w:cs="Times New Roman"/>
                <w:sz w:val="24"/>
                <w:szCs w:val="24"/>
                <w:highlight w:val="yellow"/>
                <w:lang w:val="en-US"/>
              </w:rPr>
            </w:pPr>
          </w:p>
        </w:tc>
        <w:tc>
          <w:tcPr>
            <w:tcW w:w="2447" w:type="dxa"/>
            <w:vAlign w:val="center"/>
          </w:tcPr>
          <w:p w14:paraId="0DDC4251">
            <w:pPr>
              <w:spacing w:after="0" w:line="240" w:lineRule="auto"/>
              <w:jc w:val="center"/>
              <w:rPr>
                <w:rFonts w:ascii="Times New Roman" w:hAnsi="Times New Roman" w:eastAsia="Times New Roman" w:cs="Times New Roman"/>
                <w:sz w:val="20"/>
                <w:szCs w:val="20"/>
                <w:highlight w:val="yellow"/>
                <w:lang w:val="en-US"/>
              </w:rPr>
            </w:pPr>
          </w:p>
        </w:tc>
        <w:tc>
          <w:tcPr>
            <w:tcW w:w="0" w:type="auto"/>
            <w:gridSpan w:val="2"/>
            <w:vAlign w:val="center"/>
          </w:tcPr>
          <w:p w14:paraId="55E8E069">
            <w:pPr>
              <w:spacing w:after="0" w:line="240" w:lineRule="auto"/>
              <w:jc w:val="center"/>
              <w:rPr>
                <w:rFonts w:ascii="Times New Roman" w:hAnsi="Times New Roman" w:eastAsia="Times New Roman" w:cs="Times New Roman"/>
                <w:b/>
                <w:bCs/>
                <w:sz w:val="24"/>
                <w:szCs w:val="24"/>
                <w:highlight w:val="yellow"/>
                <w:lang w:val="en-US"/>
              </w:rPr>
            </w:pPr>
            <w:r>
              <w:rPr>
                <w:rFonts w:ascii="Times New Roman" w:hAnsi="Times New Roman" w:eastAsia="Times New Roman" w:cs="Times New Roman"/>
                <w:b/>
                <w:bCs/>
                <w:color w:val="FF0000"/>
                <w:sz w:val="24"/>
                <w:szCs w:val="24"/>
                <w:highlight w:val="yellow"/>
                <w:lang w:val="en-US"/>
              </w:rPr>
              <w:t>&lt;0.001*</w:t>
            </w:r>
          </w:p>
        </w:tc>
      </w:tr>
      <w:tr w14:paraId="5B157EC7">
        <w:tblPrEx>
          <w:tblCellMar>
            <w:top w:w="15" w:type="dxa"/>
            <w:left w:w="15" w:type="dxa"/>
            <w:bottom w:w="15" w:type="dxa"/>
            <w:right w:w="15" w:type="dxa"/>
          </w:tblCellMar>
        </w:tblPrEx>
        <w:trPr>
          <w:tblCellSpacing w:w="15" w:type="dxa"/>
        </w:trPr>
        <w:tc>
          <w:tcPr>
            <w:tcW w:w="3276" w:type="dxa"/>
            <w:vAlign w:val="center"/>
          </w:tcPr>
          <w:p w14:paraId="3623BC9D">
            <w:pPr>
              <w:spacing w:after="0" w:line="240" w:lineRule="auto"/>
              <w:rPr>
                <w:rFonts w:ascii="Times New Roman" w:hAnsi="Times New Roman" w:eastAsia="Times New Roman" w:cs="Times New Roman"/>
                <w:sz w:val="24"/>
                <w:szCs w:val="24"/>
                <w:highlight w:val="yellow"/>
                <w:lang w:val="en-US"/>
              </w:rPr>
            </w:pPr>
            <w:r>
              <w:rPr>
                <w:rFonts w:ascii="Times New Roman" w:hAnsi="Times New Roman" w:eastAsia="Times New Roman" w:cs="Times New Roman"/>
                <w:sz w:val="24"/>
                <w:szCs w:val="24"/>
                <w:highlight w:val="yellow"/>
                <w:lang w:val="en-US"/>
              </w:rPr>
              <w:t>Urban</w:t>
            </w:r>
          </w:p>
        </w:tc>
        <w:tc>
          <w:tcPr>
            <w:tcW w:w="2660" w:type="dxa"/>
            <w:vAlign w:val="center"/>
          </w:tcPr>
          <w:p w14:paraId="1407A216">
            <w:pPr>
              <w:spacing w:after="0" w:line="240" w:lineRule="auto"/>
              <w:jc w:val="center"/>
              <w:rPr>
                <w:rFonts w:ascii="Times New Roman" w:hAnsi="Times New Roman" w:eastAsia="Times New Roman" w:cs="Times New Roman"/>
                <w:sz w:val="24"/>
                <w:szCs w:val="24"/>
                <w:highlight w:val="yellow"/>
                <w:lang w:val="en-US"/>
              </w:rPr>
            </w:pPr>
            <w:r>
              <w:rPr>
                <w:rFonts w:ascii="Times New Roman" w:hAnsi="Times New Roman" w:eastAsia="Times New Roman" w:cs="Times New Roman"/>
                <w:sz w:val="24"/>
                <w:szCs w:val="24"/>
                <w:highlight w:val="yellow"/>
                <w:lang w:val="en-US"/>
              </w:rPr>
              <w:t>38 (63.0)</w:t>
            </w:r>
          </w:p>
        </w:tc>
        <w:tc>
          <w:tcPr>
            <w:tcW w:w="2447" w:type="dxa"/>
            <w:vAlign w:val="center"/>
          </w:tcPr>
          <w:p w14:paraId="03E1F1AC">
            <w:pPr>
              <w:spacing w:after="0" w:line="240" w:lineRule="auto"/>
              <w:jc w:val="center"/>
              <w:rPr>
                <w:rFonts w:ascii="Times New Roman" w:hAnsi="Times New Roman" w:eastAsia="Times New Roman" w:cs="Times New Roman"/>
                <w:sz w:val="24"/>
                <w:szCs w:val="24"/>
                <w:highlight w:val="yellow"/>
                <w:lang w:val="en-US"/>
              </w:rPr>
            </w:pPr>
            <w:r>
              <w:rPr>
                <w:rFonts w:ascii="Times New Roman" w:hAnsi="Times New Roman" w:eastAsia="Times New Roman" w:cs="Times New Roman"/>
                <w:sz w:val="24"/>
                <w:szCs w:val="24"/>
                <w:highlight w:val="yellow"/>
                <w:lang w:val="en-US"/>
              </w:rPr>
              <w:t>16 (27.0)</w:t>
            </w:r>
          </w:p>
        </w:tc>
        <w:tc>
          <w:tcPr>
            <w:tcW w:w="0" w:type="auto"/>
            <w:gridSpan w:val="2"/>
            <w:vAlign w:val="center"/>
          </w:tcPr>
          <w:p w14:paraId="0E01187F">
            <w:pPr>
              <w:spacing w:after="0" w:line="240" w:lineRule="auto"/>
              <w:jc w:val="center"/>
              <w:rPr>
                <w:rFonts w:ascii="Times New Roman" w:hAnsi="Times New Roman" w:eastAsia="Times New Roman" w:cs="Times New Roman"/>
                <w:sz w:val="24"/>
                <w:szCs w:val="24"/>
                <w:highlight w:val="yellow"/>
                <w:lang w:val="en-US"/>
              </w:rPr>
            </w:pPr>
          </w:p>
        </w:tc>
      </w:tr>
      <w:tr w14:paraId="065A3A6A">
        <w:tblPrEx>
          <w:tblCellMar>
            <w:top w:w="15" w:type="dxa"/>
            <w:left w:w="15" w:type="dxa"/>
            <w:bottom w:w="15" w:type="dxa"/>
            <w:right w:w="15" w:type="dxa"/>
          </w:tblCellMar>
        </w:tblPrEx>
        <w:trPr>
          <w:tblCellSpacing w:w="15" w:type="dxa"/>
        </w:trPr>
        <w:tc>
          <w:tcPr>
            <w:tcW w:w="3276" w:type="dxa"/>
            <w:vAlign w:val="center"/>
          </w:tcPr>
          <w:p w14:paraId="62AD6C70">
            <w:pPr>
              <w:spacing w:after="0" w:line="240" w:lineRule="auto"/>
              <w:rPr>
                <w:rFonts w:ascii="Times New Roman" w:hAnsi="Times New Roman" w:eastAsia="Times New Roman" w:cs="Times New Roman"/>
                <w:sz w:val="24"/>
                <w:szCs w:val="24"/>
                <w:highlight w:val="yellow"/>
                <w:lang w:val="en-US"/>
              </w:rPr>
            </w:pPr>
            <w:r>
              <w:rPr>
                <w:rFonts w:ascii="Times New Roman" w:hAnsi="Times New Roman" w:eastAsia="Times New Roman" w:cs="Times New Roman"/>
                <w:sz w:val="24"/>
                <w:szCs w:val="24"/>
                <w:highlight w:val="yellow"/>
                <w:lang w:val="en-US"/>
              </w:rPr>
              <w:t>Rural</w:t>
            </w:r>
          </w:p>
        </w:tc>
        <w:tc>
          <w:tcPr>
            <w:tcW w:w="2660" w:type="dxa"/>
            <w:vAlign w:val="center"/>
          </w:tcPr>
          <w:p w14:paraId="3225DDDA">
            <w:pPr>
              <w:spacing w:after="0" w:line="240" w:lineRule="auto"/>
              <w:jc w:val="center"/>
              <w:rPr>
                <w:rFonts w:ascii="Times New Roman" w:hAnsi="Times New Roman" w:eastAsia="Times New Roman" w:cs="Times New Roman"/>
                <w:sz w:val="24"/>
                <w:szCs w:val="24"/>
                <w:highlight w:val="yellow"/>
                <w:lang w:val="en-US"/>
              </w:rPr>
            </w:pPr>
            <w:r>
              <w:rPr>
                <w:rFonts w:ascii="Times New Roman" w:hAnsi="Times New Roman" w:eastAsia="Times New Roman" w:cs="Times New Roman"/>
                <w:sz w:val="24"/>
                <w:szCs w:val="24"/>
                <w:highlight w:val="yellow"/>
                <w:lang w:val="en-US"/>
              </w:rPr>
              <w:t>22 (37.0)</w:t>
            </w:r>
          </w:p>
        </w:tc>
        <w:tc>
          <w:tcPr>
            <w:tcW w:w="2447" w:type="dxa"/>
            <w:vAlign w:val="center"/>
          </w:tcPr>
          <w:p w14:paraId="71BCD3E0">
            <w:pPr>
              <w:spacing w:after="0" w:line="240" w:lineRule="auto"/>
              <w:jc w:val="center"/>
              <w:rPr>
                <w:rFonts w:ascii="Times New Roman" w:hAnsi="Times New Roman" w:eastAsia="Times New Roman" w:cs="Times New Roman"/>
                <w:sz w:val="24"/>
                <w:szCs w:val="24"/>
                <w:highlight w:val="yellow"/>
                <w:lang w:val="en-US"/>
              </w:rPr>
            </w:pPr>
            <w:r>
              <w:rPr>
                <w:rFonts w:ascii="Times New Roman" w:hAnsi="Times New Roman" w:eastAsia="Times New Roman" w:cs="Times New Roman"/>
                <w:sz w:val="24"/>
                <w:szCs w:val="24"/>
                <w:highlight w:val="yellow"/>
                <w:lang w:val="en-US"/>
              </w:rPr>
              <w:t>44 (73.0)</w:t>
            </w:r>
          </w:p>
        </w:tc>
        <w:tc>
          <w:tcPr>
            <w:tcW w:w="0" w:type="auto"/>
            <w:gridSpan w:val="2"/>
            <w:vAlign w:val="center"/>
          </w:tcPr>
          <w:p w14:paraId="741936DA">
            <w:pPr>
              <w:spacing w:after="0" w:line="240" w:lineRule="auto"/>
              <w:jc w:val="center"/>
              <w:rPr>
                <w:rFonts w:ascii="Times New Roman" w:hAnsi="Times New Roman" w:eastAsia="Times New Roman" w:cs="Times New Roman"/>
                <w:sz w:val="24"/>
                <w:szCs w:val="24"/>
                <w:highlight w:val="yellow"/>
                <w:lang w:val="en-US"/>
              </w:rPr>
            </w:pPr>
          </w:p>
        </w:tc>
      </w:tr>
      <w:tr w14:paraId="4CE96284">
        <w:tblPrEx>
          <w:tblCellMar>
            <w:top w:w="15" w:type="dxa"/>
            <w:left w:w="15" w:type="dxa"/>
            <w:bottom w:w="15" w:type="dxa"/>
            <w:right w:w="15" w:type="dxa"/>
          </w:tblCellMar>
        </w:tblPrEx>
        <w:trPr>
          <w:tblCellSpacing w:w="15" w:type="dxa"/>
        </w:trPr>
        <w:tc>
          <w:tcPr>
            <w:tcW w:w="3276" w:type="dxa"/>
            <w:vAlign w:val="center"/>
          </w:tcPr>
          <w:p w14:paraId="4E7FB9AB">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Nutritional history, n (%)</w:t>
            </w:r>
          </w:p>
        </w:tc>
        <w:tc>
          <w:tcPr>
            <w:tcW w:w="2660" w:type="dxa"/>
            <w:vAlign w:val="center"/>
          </w:tcPr>
          <w:p w14:paraId="1502A1B3">
            <w:pPr>
              <w:spacing w:after="0" w:line="240" w:lineRule="auto"/>
              <w:jc w:val="center"/>
              <w:rPr>
                <w:rFonts w:ascii="Times New Roman" w:hAnsi="Times New Roman" w:eastAsia="Times New Roman" w:cs="Times New Roman"/>
                <w:sz w:val="24"/>
                <w:szCs w:val="24"/>
                <w:lang w:val="en-US"/>
              </w:rPr>
            </w:pPr>
          </w:p>
        </w:tc>
        <w:tc>
          <w:tcPr>
            <w:tcW w:w="2447" w:type="dxa"/>
            <w:vAlign w:val="center"/>
          </w:tcPr>
          <w:p w14:paraId="21021BEF">
            <w:pPr>
              <w:spacing w:after="0" w:line="240" w:lineRule="auto"/>
              <w:jc w:val="center"/>
              <w:rPr>
                <w:rFonts w:ascii="Times New Roman" w:hAnsi="Times New Roman" w:eastAsia="Times New Roman" w:cs="Times New Roman"/>
                <w:sz w:val="20"/>
                <w:szCs w:val="20"/>
                <w:lang w:val="en-US"/>
              </w:rPr>
            </w:pPr>
          </w:p>
        </w:tc>
        <w:tc>
          <w:tcPr>
            <w:tcW w:w="0" w:type="auto"/>
            <w:gridSpan w:val="2"/>
            <w:vAlign w:val="center"/>
          </w:tcPr>
          <w:p w14:paraId="68F6535F">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0.662</w:t>
            </w:r>
          </w:p>
        </w:tc>
      </w:tr>
      <w:tr w14:paraId="2DA57AEC">
        <w:tblPrEx>
          <w:tblCellMar>
            <w:top w:w="15" w:type="dxa"/>
            <w:left w:w="15" w:type="dxa"/>
            <w:bottom w:w="15" w:type="dxa"/>
            <w:right w:w="15" w:type="dxa"/>
          </w:tblCellMar>
        </w:tblPrEx>
        <w:trPr>
          <w:tblCellSpacing w:w="15" w:type="dxa"/>
        </w:trPr>
        <w:tc>
          <w:tcPr>
            <w:tcW w:w="3276" w:type="dxa"/>
            <w:vAlign w:val="center"/>
          </w:tcPr>
          <w:p w14:paraId="30753739">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Breast feeding</w:t>
            </w:r>
          </w:p>
        </w:tc>
        <w:tc>
          <w:tcPr>
            <w:tcW w:w="2660" w:type="dxa"/>
            <w:vAlign w:val="center"/>
          </w:tcPr>
          <w:p w14:paraId="1BD4544F">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37 (61.6)</w:t>
            </w:r>
          </w:p>
        </w:tc>
        <w:tc>
          <w:tcPr>
            <w:tcW w:w="2447" w:type="dxa"/>
            <w:vAlign w:val="center"/>
          </w:tcPr>
          <w:p w14:paraId="3BB322EE">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36 (60.0)</w:t>
            </w:r>
          </w:p>
        </w:tc>
        <w:tc>
          <w:tcPr>
            <w:tcW w:w="0" w:type="auto"/>
            <w:gridSpan w:val="2"/>
            <w:vAlign w:val="center"/>
          </w:tcPr>
          <w:p w14:paraId="624FE232">
            <w:pPr>
              <w:spacing w:after="0" w:line="240" w:lineRule="auto"/>
              <w:jc w:val="center"/>
              <w:rPr>
                <w:rFonts w:ascii="Times New Roman" w:hAnsi="Times New Roman" w:eastAsia="Times New Roman" w:cs="Times New Roman"/>
                <w:sz w:val="24"/>
                <w:szCs w:val="24"/>
                <w:lang w:val="en-US"/>
              </w:rPr>
            </w:pPr>
          </w:p>
        </w:tc>
      </w:tr>
      <w:tr w14:paraId="047655CD">
        <w:tblPrEx>
          <w:tblCellMar>
            <w:top w:w="15" w:type="dxa"/>
            <w:left w:w="15" w:type="dxa"/>
            <w:bottom w:w="15" w:type="dxa"/>
            <w:right w:w="15" w:type="dxa"/>
          </w:tblCellMar>
        </w:tblPrEx>
        <w:trPr>
          <w:tblCellSpacing w:w="15" w:type="dxa"/>
        </w:trPr>
        <w:tc>
          <w:tcPr>
            <w:tcW w:w="3276" w:type="dxa"/>
            <w:vAlign w:val="center"/>
          </w:tcPr>
          <w:p w14:paraId="406972A5">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Artificial</w:t>
            </w:r>
          </w:p>
        </w:tc>
        <w:tc>
          <w:tcPr>
            <w:tcW w:w="2660" w:type="dxa"/>
            <w:vAlign w:val="center"/>
          </w:tcPr>
          <w:p w14:paraId="286005A6">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18 (30.0)</w:t>
            </w:r>
          </w:p>
        </w:tc>
        <w:tc>
          <w:tcPr>
            <w:tcW w:w="2447" w:type="dxa"/>
            <w:vAlign w:val="center"/>
          </w:tcPr>
          <w:p w14:paraId="06C585C1">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16 (26.6)</w:t>
            </w:r>
          </w:p>
        </w:tc>
        <w:tc>
          <w:tcPr>
            <w:tcW w:w="0" w:type="auto"/>
            <w:gridSpan w:val="2"/>
            <w:vAlign w:val="center"/>
          </w:tcPr>
          <w:p w14:paraId="62A8E56C">
            <w:pPr>
              <w:spacing w:after="0" w:line="240" w:lineRule="auto"/>
              <w:jc w:val="center"/>
              <w:rPr>
                <w:rFonts w:ascii="Times New Roman" w:hAnsi="Times New Roman" w:eastAsia="Times New Roman" w:cs="Times New Roman"/>
                <w:sz w:val="24"/>
                <w:szCs w:val="24"/>
                <w:lang w:val="en-US"/>
              </w:rPr>
            </w:pPr>
          </w:p>
        </w:tc>
      </w:tr>
      <w:tr w14:paraId="412C5FFA">
        <w:tblPrEx>
          <w:tblCellMar>
            <w:top w:w="15" w:type="dxa"/>
            <w:left w:w="15" w:type="dxa"/>
            <w:bottom w:w="15" w:type="dxa"/>
            <w:right w:w="15" w:type="dxa"/>
          </w:tblCellMar>
        </w:tblPrEx>
        <w:trPr>
          <w:tblCellSpacing w:w="15" w:type="dxa"/>
        </w:trPr>
        <w:tc>
          <w:tcPr>
            <w:tcW w:w="3276" w:type="dxa"/>
            <w:vAlign w:val="center"/>
          </w:tcPr>
          <w:p w14:paraId="4AC64CB9">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Mixed</w:t>
            </w:r>
          </w:p>
        </w:tc>
        <w:tc>
          <w:tcPr>
            <w:tcW w:w="2660" w:type="dxa"/>
            <w:vAlign w:val="center"/>
          </w:tcPr>
          <w:p w14:paraId="347A3857">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5 (8.4)</w:t>
            </w:r>
          </w:p>
        </w:tc>
        <w:tc>
          <w:tcPr>
            <w:tcW w:w="2447" w:type="dxa"/>
            <w:vAlign w:val="center"/>
          </w:tcPr>
          <w:p w14:paraId="4FD020FF">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8 (13.4)</w:t>
            </w:r>
          </w:p>
        </w:tc>
        <w:tc>
          <w:tcPr>
            <w:tcW w:w="0" w:type="auto"/>
            <w:gridSpan w:val="2"/>
            <w:vAlign w:val="center"/>
          </w:tcPr>
          <w:p w14:paraId="7E8EA3BC">
            <w:pPr>
              <w:spacing w:after="0" w:line="240" w:lineRule="auto"/>
              <w:jc w:val="center"/>
              <w:rPr>
                <w:rFonts w:ascii="Times New Roman" w:hAnsi="Times New Roman" w:eastAsia="Times New Roman" w:cs="Times New Roman"/>
                <w:sz w:val="24"/>
                <w:szCs w:val="24"/>
                <w:lang w:val="en-US"/>
              </w:rPr>
            </w:pPr>
          </w:p>
        </w:tc>
      </w:tr>
      <w:tr w14:paraId="22BFC9E7">
        <w:tblPrEx>
          <w:tblCellMar>
            <w:top w:w="15" w:type="dxa"/>
            <w:left w:w="15" w:type="dxa"/>
            <w:bottom w:w="15" w:type="dxa"/>
            <w:right w:w="15" w:type="dxa"/>
          </w:tblCellMar>
        </w:tblPrEx>
        <w:trPr>
          <w:tblCellSpacing w:w="15" w:type="dxa"/>
        </w:trPr>
        <w:tc>
          <w:tcPr>
            <w:tcW w:w="3276" w:type="dxa"/>
            <w:vAlign w:val="center"/>
          </w:tcPr>
          <w:p w14:paraId="5E6ADD40">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Vitamin supplementation, n (%)</w:t>
            </w:r>
          </w:p>
        </w:tc>
        <w:tc>
          <w:tcPr>
            <w:tcW w:w="2660" w:type="dxa"/>
            <w:vAlign w:val="center"/>
          </w:tcPr>
          <w:p w14:paraId="44B6BB83">
            <w:pPr>
              <w:spacing w:after="0" w:line="240" w:lineRule="auto"/>
              <w:jc w:val="center"/>
              <w:rPr>
                <w:rFonts w:ascii="Times New Roman" w:hAnsi="Times New Roman" w:eastAsia="Times New Roman" w:cs="Times New Roman"/>
                <w:sz w:val="24"/>
                <w:szCs w:val="24"/>
                <w:lang w:val="en-US"/>
              </w:rPr>
            </w:pPr>
          </w:p>
        </w:tc>
        <w:tc>
          <w:tcPr>
            <w:tcW w:w="2447" w:type="dxa"/>
            <w:vAlign w:val="center"/>
          </w:tcPr>
          <w:p w14:paraId="31447392">
            <w:pPr>
              <w:spacing w:after="0" w:line="240" w:lineRule="auto"/>
              <w:jc w:val="center"/>
              <w:rPr>
                <w:rFonts w:ascii="Times New Roman" w:hAnsi="Times New Roman" w:eastAsia="Times New Roman" w:cs="Times New Roman"/>
                <w:sz w:val="20"/>
                <w:szCs w:val="20"/>
                <w:lang w:val="en-US"/>
              </w:rPr>
            </w:pPr>
          </w:p>
        </w:tc>
        <w:tc>
          <w:tcPr>
            <w:tcW w:w="0" w:type="auto"/>
            <w:gridSpan w:val="2"/>
            <w:vAlign w:val="center"/>
          </w:tcPr>
          <w:p w14:paraId="2A127FDB">
            <w:pPr>
              <w:spacing w:after="0" w:line="240" w:lineRule="auto"/>
              <w:jc w:val="center"/>
              <w:rPr>
                <w:rFonts w:ascii="Times New Roman" w:hAnsi="Times New Roman" w:eastAsia="Times New Roman" w:cs="Times New Roman"/>
                <w:b/>
                <w:bCs/>
                <w:sz w:val="24"/>
                <w:szCs w:val="24"/>
                <w:lang w:val="en-US"/>
              </w:rPr>
            </w:pPr>
            <w:r>
              <w:rPr>
                <w:rFonts w:ascii="Times New Roman" w:hAnsi="Times New Roman" w:eastAsia="Times New Roman" w:cs="Times New Roman"/>
                <w:b/>
                <w:bCs/>
                <w:color w:val="FF0000"/>
                <w:sz w:val="24"/>
                <w:szCs w:val="24"/>
                <w:lang w:val="en-US"/>
              </w:rPr>
              <w:t>0.002*</w:t>
            </w:r>
          </w:p>
        </w:tc>
      </w:tr>
      <w:tr w14:paraId="1BDD4320">
        <w:tblPrEx>
          <w:tblCellMar>
            <w:top w:w="15" w:type="dxa"/>
            <w:left w:w="15" w:type="dxa"/>
            <w:bottom w:w="15" w:type="dxa"/>
            <w:right w:w="15" w:type="dxa"/>
          </w:tblCellMar>
        </w:tblPrEx>
        <w:trPr>
          <w:tblCellSpacing w:w="15" w:type="dxa"/>
        </w:trPr>
        <w:tc>
          <w:tcPr>
            <w:tcW w:w="3276" w:type="dxa"/>
            <w:vAlign w:val="center"/>
          </w:tcPr>
          <w:p w14:paraId="32B1787D">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Yes</w:t>
            </w:r>
          </w:p>
        </w:tc>
        <w:tc>
          <w:tcPr>
            <w:tcW w:w="2660" w:type="dxa"/>
            <w:vAlign w:val="center"/>
          </w:tcPr>
          <w:p w14:paraId="5D681785">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44 (73.0)</w:t>
            </w:r>
          </w:p>
        </w:tc>
        <w:tc>
          <w:tcPr>
            <w:tcW w:w="2447" w:type="dxa"/>
            <w:vAlign w:val="center"/>
          </w:tcPr>
          <w:p w14:paraId="7D5B276C">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28 (46.6)</w:t>
            </w:r>
          </w:p>
        </w:tc>
        <w:tc>
          <w:tcPr>
            <w:tcW w:w="0" w:type="auto"/>
            <w:gridSpan w:val="2"/>
            <w:vAlign w:val="center"/>
          </w:tcPr>
          <w:p w14:paraId="2D045FD5">
            <w:pPr>
              <w:spacing w:after="0" w:line="240" w:lineRule="auto"/>
              <w:jc w:val="center"/>
              <w:rPr>
                <w:rFonts w:ascii="Times New Roman" w:hAnsi="Times New Roman" w:eastAsia="Times New Roman" w:cs="Times New Roman"/>
                <w:sz w:val="24"/>
                <w:szCs w:val="24"/>
                <w:lang w:val="en-US"/>
              </w:rPr>
            </w:pPr>
          </w:p>
        </w:tc>
      </w:tr>
      <w:tr w14:paraId="3D272B36">
        <w:tblPrEx>
          <w:tblCellMar>
            <w:top w:w="15" w:type="dxa"/>
            <w:left w:w="15" w:type="dxa"/>
            <w:bottom w:w="15" w:type="dxa"/>
            <w:right w:w="15" w:type="dxa"/>
          </w:tblCellMar>
        </w:tblPrEx>
        <w:trPr>
          <w:tblCellSpacing w:w="15" w:type="dxa"/>
        </w:trPr>
        <w:tc>
          <w:tcPr>
            <w:tcW w:w="3276" w:type="dxa"/>
            <w:vAlign w:val="center"/>
          </w:tcPr>
          <w:p w14:paraId="1264E6D0">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No</w:t>
            </w:r>
          </w:p>
        </w:tc>
        <w:tc>
          <w:tcPr>
            <w:tcW w:w="2660" w:type="dxa"/>
            <w:vAlign w:val="center"/>
          </w:tcPr>
          <w:p w14:paraId="43F77847">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16 (27.0)</w:t>
            </w:r>
          </w:p>
        </w:tc>
        <w:tc>
          <w:tcPr>
            <w:tcW w:w="2447" w:type="dxa"/>
            <w:vAlign w:val="center"/>
          </w:tcPr>
          <w:p w14:paraId="07CE16E9">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32 (53.4)</w:t>
            </w:r>
          </w:p>
        </w:tc>
        <w:tc>
          <w:tcPr>
            <w:tcW w:w="0" w:type="auto"/>
            <w:gridSpan w:val="2"/>
            <w:vAlign w:val="center"/>
          </w:tcPr>
          <w:p w14:paraId="08519754">
            <w:pPr>
              <w:spacing w:after="0" w:line="240" w:lineRule="auto"/>
              <w:jc w:val="center"/>
              <w:rPr>
                <w:rFonts w:ascii="Times New Roman" w:hAnsi="Times New Roman" w:eastAsia="Times New Roman" w:cs="Times New Roman"/>
                <w:sz w:val="24"/>
                <w:szCs w:val="24"/>
                <w:lang w:val="en-US"/>
              </w:rPr>
            </w:pPr>
          </w:p>
        </w:tc>
      </w:tr>
      <w:tr w14:paraId="558F6D63">
        <w:tblPrEx>
          <w:tblCellMar>
            <w:top w:w="15" w:type="dxa"/>
            <w:left w:w="15" w:type="dxa"/>
            <w:bottom w:w="15" w:type="dxa"/>
            <w:right w:w="15" w:type="dxa"/>
          </w:tblCellMar>
        </w:tblPrEx>
        <w:trPr>
          <w:tblCellSpacing w:w="15" w:type="dxa"/>
        </w:trPr>
        <w:tc>
          <w:tcPr>
            <w:tcW w:w="3276" w:type="dxa"/>
            <w:vAlign w:val="center"/>
          </w:tcPr>
          <w:p w14:paraId="22B18B37">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Anthropometric measurements</w:t>
            </w:r>
            <w:r>
              <w:rPr>
                <w:rFonts w:ascii="Times New Roman" w:hAnsi="Times New Roman" w:eastAsia="Times New Roman" w:cs="Times New Roman"/>
                <w:sz w:val="24"/>
                <w:szCs w:val="24"/>
                <w:lang w:val="en-US"/>
              </w:rPr>
              <w:t>, mean ± SD</w:t>
            </w:r>
          </w:p>
        </w:tc>
        <w:tc>
          <w:tcPr>
            <w:tcW w:w="2660" w:type="dxa"/>
            <w:vAlign w:val="center"/>
          </w:tcPr>
          <w:p w14:paraId="1036733B">
            <w:pPr>
              <w:spacing w:after="0" w:line="240" w:lineRule="auto"/>
              <w:jc w:val="center"/>
              <w:rPr>
                <w:rFonts w:ascii="Times New Roman" w:hAnsi="Times New Roman" w:eastAsia="Times New Roman" w:cs="Times New Roman"/>
                <w:sz w:val="24"/>
                <w:szCs w:val="24"/>
                <w:lang w:val="en-US"/>
              </w:rPr>
            </w:pPr>
          </w:p>
        </w:tc>
        <w:tc>
          <w:tcPr>
            <w:tcW w:w="2447" w:type="dxa"/>
            <w:vAlign w:val="center"/>
          </w:tcPr>
          <w:p w14:paraId="13EF6565">
            <w:pPr>
              <w:spacing w:after="0" w:line="240" w:lineRule="auto"/>
              <w:jc w:val="center"/>
              <w:rPr>
                <w:rFonts w:ascii="Times New Roman" w:hAnsi="Times New Roman" w:eastAsia="Times New Roman" w:cs="Times New Roman"/>
                <w:sz w:val="20"/>
                <w:szCs w:val="20"/>
                <w:lang w:val="en-US"/>
              </w:rPr>
            </w:pPr>
          </w:p>
        </w:tc>
        <w:tc>
          <w:tcPr>
            <w:tcW w:w="0" w:type="auto"/>
            <w:gridSpan w:val="2"/>
            <w:vAlign w:val="center"/>
          </w:tcPr>
          <w:p w14:paraId="621187B1">
            <w:pPr>
              <w:spacing w:after="0" w:line="240" w:lineRule="auto"/>
              <w:jc w:val="center"/>
              <w:rPr>
                <w:rFonts w:ascii="Times New Roman" w:hAnsi="Times New Roman" w:eastAsia="Times New Roman" w:cs="Times New Roman"/>
                <w:sz w:val="20"/>
                <w:szCs w:val="20"/>
                <w:lang w:val="en-US"/>
              </w:rPr>
            </w:pPr>
          </w:p>
        </w:tc>
      </w:tr>
      <w:tr w14:paraId="468DB65D">
        <w:tblPrEx>
          <w:tblCellMar>
            <w:top w:w="15" w:type="dxa"/>
            <w:left w:w="15" w:type="dxa"/>
            <w:bottom w:w="15" w:type="dxa"/>
            <w:right w:w="15" w:type="dxa"/>
          </w:tblCellMar>
        </w:tblPrEx>
        <w:trPr>
          <w:tblCellSpacing w:w="15" w:type="dxa"/>
        </w:trPr>
        <w:tc>
          <w:tcPr>
            <w:tcW w:w="3276" w:type="dxa"/>
            <w:vAlign w:val="center"/>
          </w:tcPr>
          <w:p w14:paraId="7A6451DE">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Weight (kg)</w:t>
            </w:r>
          </w:p>
        </w:tc>
        <w:tc>
          <w:tcPr>
            <w:tcW w:w="2660" w:type="dxa"/>
            <w:vAlign w:val="center"/>
          </w:tcPr>
          <w:p w14:paraId="75A5A8DB">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15.82 ± 2.74</w:t>
            </w:r>
          </w:p>
        </w:tc>
        <w:tc>
          <w:tcPr>
            <w:tcW w:w="2447" w:type="dxa"/>
            <w:vAlign w:val="center"/>
          </w:tcPr>
          <w:p w14:paraId="6F4BD975">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15.33 ± 2.82</w:t>
            </w:r>
          </w:p>
        </w:tc>
        <w:tc>
          <w:tcPr>
            <w:tcW w:w="0" w:type="auto"/>
            <w:gridSpan w:val="2"/>
            <w:vAlign w:val="center"/>
          </w:tcPr>
          <w:p w14:paraId="4BE2601B">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0.335</w:t>
            </w:r>
          </w:p>
        </w:tc>
      </w:tr>
      <w:tr w14:paraId="171886C6">
        <w:tblPrEx>
          <w:tblCellMar>
            <w:top w:w="15" w:type="dxa"/>
            <w:left w:w="15" w:type="dxa"/>
            <w:bottom w:w="15" w:type="dxa"/>
            <w:right w:w="15" w:type="dxa"/>
          </w:tblCellMar>
        </w:tblPrEx>
        <w:trPr>
          <w:tblCellSpacing w:w="15" w:type="dxa"/>
        </w:trPr>
        <w:tc>
          <w:tcPr>
            <w:tcW w:w="3276" w:type="dxa"/>
            <w:vAlign w:val="center"/>
          </w:tcPr>
          <w:p w14:paraId="4599DD5C">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Length (m)</w:t>
            </w:r>
          </w:p>
        </w:tc>
        <w:tc>
          <w:tcPr>
            <w:tcW w:w="2660" w:type="dxa"/>
            <w:vAlign w:val="center"/>
          </w:tcPr>
          <w:p w14:paraId="3ACDE884">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0.88 ± 0.074</w:t>
            </w:r>
          </w:p>
        </w:tc>
        <w:tc>
          <w:tcPr>
            <w:tcW w:w="2447" w:type="dxa"/>
            <w:vAlign w:val="center"/>
          </w:tcPr>
          <w:p w14:paraId="085DDE7B">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0.87 ± 0.084</w:t>
            </w:r>
          </w:p>
        </w:tc>
        <w:tc>
          <w:tcPr>
            <w:tcW w:w="0" w:type="auto"/>
            <w:gridSpan w:val="2"/>
            <w:vAlign w:val="center"/>
          </w:tcPr>
          <w:p w14:paraId="142CD5F3">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0.341</w:t>
            </w:r>
          </w:p>
        </w:tc>
      </w:tr>
      <w:tr w14:paraId="270DE08B">
        <w:tblPrEx>
          <w:tblCellMar>
            <w:top w:w="15" w:type="dxa"/>
            <w:left w:w="15" w:type="dxa"/>
            <w:bottom w:w="15" w:type="dxa"/>
            <w:right w:w="15" w:type="dxa"/>
          </w:tblCellMar>
        </w:tblPrEx>
        <w:trPr>
          <w:tblCellSpacing w:w="15" w:type="dxa"/>
        </w:trPr>
        <w:tc>
          <w:tcPr>
            <w:tcW w:w="3276" w:type="dxa"/>
            <w:vAlign w:val="center"/>
          </w:tcPr>
          <w:p w14:paraId="22F715F3">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Body mass index</w:t>
            </w:r>
          </w:p>
        </w:tc>
        <w:tc>
          <w:tcPr>
            <w:tcW w:w="2660" w:type="dxa"/>
            <w:vAlign w:val="center"/>
          </w:tcPr>
          <w:p w14:paraId="7C11D1B5">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20.11 ± 1.59</w:t>
            </w:r>
          </w:p>
        </w:tc>
        <w:tc>
          <w:tcPr>
            <w:tcW w:w="2447" w:type="dxa"/>
            <w:vAlign w:val="center"/>
          </w:tcPr>
          <w:p w14:paraId="52A70311">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20.14 ± 1.89</w:t>
            </w:r>
          </w:p>
        </w:tc>
        <w:tc>
          <w:tcPr>
            <w:tcW w:w="0" w:type="auto"/>
            <w:gridSpan w:val="2"/>
            <w:vAlign w:val="center"/>
          </w:tcPr>
          <w:p w14:paraId="6C2D75D2">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0.902</w:t>
            </w:r>
          </w:p>
        </w:tc>
      </w:tr>
      <w:tr w14:paraId="3A67FD6B">
        <w:tblPrEx>
          <w:tblCellMar>
            <w:top w:w="15" w:type="dxa"/>
            <w:left w:w="15" w:type="dxa"/>
            <w:bottom w:w="15" w:type="dxa"/>
            <w:right w:w="15" w:type="dxa"/>
          </w:tblCellMar>
        </w:tblPrEx>
        <w:trPr>
          <w:tblCellSpacing w:w="15" w:type="dxa"/>
        </w:trPr>
        <w:tc>
          <w:tcPr>
            <w:tcW w:w="3276" w:type="dxa"/>
            <w:vAlign w:val="center"/>
          </w:tcPr>
          <w:p w14:paraId="5A6BF3A9">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Vital signs</w:t>
            </w:r>
            <w:r>
              <w:rPr>
                <w:rFonts w:ascii="Times New Roman" w:hAnsi="Times New Roman" w:eastAsia="Times New Roman" w:cs="Times New Roman"/>
                <w:sz w:val="24"/>
                <w:szCs w:val="24"/>
                <w:lang w:val="en-US"/>
              </w:rPr>
              <w:t>, mean ± SD</w:t>
            </w:r>
          </w:p>
        </w:tc>
        <w:tc>
          <w:tcPr>
            <w:tcW w:w="2660" w:type="dxa"/>
            <w:vAlign w:val="center"/>
          </w:tcPr>
          <w:p w14:paraId="7A6F78F3">
            <w:pPr>
              <w:spacing w:after="0" w:line="240" w:lineRule="auto"/>
              <w:jc w:val="center"/>
              <w:rPr>
                <w:rFonts w:ascii="Times New Roman" w:hAnsi="Times New Roman" w:eastAsia="Times New Roman" w:cs="Times New Roman"/>
                <w:sz w:val="24"/>
                <w:szCs w:val="24"/>
                <w:lang w:val="en-US"/>
              </w:rPr>
            </w:pPr>
          </w:p>
        </w:tc>
        <w:tc>
          <w:tcPr>
            <w:tcW w:w="2447" w:type="dxa"/>
            <w:vAlign w:val="center"/>
          </w:tcPr>
          <w:p w14:paraId="21800B53">
            <w:pPr>
              <w:spacing w:after="0" w:line="240" w:lineRule="auto"/>
              <w:jc w:val="center"/>
              <w:rPr>
                <w:rFonts w:ascii="Times New Roman" w:hAnsi="Times New Roman" w:eastAsia="Times New Roman" w:cs="Times New Roman"/>
                <w:sz w:val="20"/>
                <w:szCs w:val="20"/>
                <w:lang w:val="en-US"/>
              </w:rPr>
            </w:pPr>
          </w:p>
        </w:tc>
        <w:tc>
          <w:tcPr>
            <w:tcW w:w="0" w:type="auto"/>
            <w:gridSpan w:val="2"/>
            <w:vAlign w:val="center"/>
          </w:tcPr>
          <w:p w14:paraId="483F2B2B">
            <w:pPr>
              <w:spacing w:after="0" w:line="240" w:lineRule="auto"/>
              <w:jc w:val="center"/>
              <w:rPr>
                <w:rFonts w:ascii="Times New Roman" w:hAnsi="Times New Roman" w:eastAsia="Times New Roman" w:cs="Times New Roman"/>
                <w:sz w:val="20"/>
                <w:szCs w:val="20"/>
                <w:lang w:val="en-US"/>
              </w:rPr>
            </w:pPr>
          </w:p>
        </w:tc>
      </w:tr>
      <w:tr w14:paraId="1F02CB94">
        <w:tblPrEx>
          <w:tblCellMar>
            <w:top w:w="15" w:type="dxa"/>
            <w:left w:w="15" w:type="dxa"/>
            <w:bottom w:w="15" w:type="dxa"/>
            <w:right w:w="15" w:type="dxa"/>
          </w:tblCellMar>
        </w:tblPrEx>
        <w:trPr>
          <w:tblCellSpacing w:w="15" w:type="dxa"/>
        </w:trPr>
        <w:tc>
          <w:tcPr>
            <w:tcW w:w="3276" w:type="dxa"/>
            <w:vAlign w:val="center"/>
          </w:tcPr>
          <w:p w14:paraId="4271C1D2">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Heart rate (beats/min)</w:t>
            </w:r>
          </w:p>
        </w:tc>
        <w:tc>
          <w:tcPr>
            <w:tcW w:w="2660" w:type="dxa"/>
            <w:vAlign w:val="center"/>
          </w:tcPr>
          <w:p w14:paraId="212567DD">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139.00 ± 9.19</w:t>
            </w:r>
          </w:p>
        </w:tc>
        <w:tc>
          <w:tcPr>
            <w:tcW w:w="2447" w:type="dxa"/>
            <w:vAlign w:val="center"/>
          </w:tcPr>
          <w:p w14:paraId="330E4335">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150.97 ± 25.81</w:t>
            </w:r>
          </w:p>
        </w:tc>
        <w:tc>
          <w:tcPr>
            <w:tcW w:w="0" w:type="auto"/>
            <w:gridSpan w:val="2"/>
            <w:vAlign w:val="center"/>
          </w:tcPr>
          <w:p w14:paraId="45350B64">
            <w:pPr>
              <w:spacing w:after="0" w:line="240" w:lineRule="auto"/>
              <w:jc w:val="center"/>
              <w:rPr>
                <w:rFonts w:ascii="Times New Roman" w:hAnsi="Times New Roman" w:eastAsia="Times New Roman" w:cs="Times New Roman"/>
                <w:b/>
                <w:bCs/>
                <w:color w:val="FF0000"/>
                <w:sz w:val="24"/>
                <w:szCs w:val="24"/>
                <w:lang w:val="en-US"/>
              </w:rPr>
            </w:pPr>
            <w:r>
              <w:rPr>
                <w:rFonts w:ascii="Times New Roman" w:hAnsi="Times New Roman" w:eastAsia="Times New Roman" w:cs="Times New Roman"/>
                <w:b/>
                <w:bCs/>
                <w:color w:val="FF0000"/>
                <w:sz w:val="24"/>
                <w:szCs w:val="24"/>
                <w:lang w:val="en-US"/>
              </w:rPr>
              <w:t>0.001*</w:t>
            </w:r>
          </w:p>
        </w:tc>
      </w:tr>
      <w:tr w14:paraId="429F6DCA">
        <w:tblPrEx>
          <w:tblCellMar>
            <w:top w:w="15" w:type="dxa"/>
            <w:left w:w="15" w:type="dxa"/>
            <w:bottom w:w="15" w:type="dxa"/>
            <w:right w:w="15" w:type="dxa"/>
          </w:tblCellMar>
        </w:tblPrEx>
        <w:trPr>
          <w:tblCellSpacing w:w="15" w:type="dxa"/>
        </w:trPr>
        <w:tc>
          <w:tcPr>
            <w:tcW w:w="3276" w:type="dxa"/>
            <w:vAlign w:val="center"/>
          </w:tcPr>
          <w:p w14:paraId="4948B4D9">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Respiratory rate (cycles/min)</w:t>
            </w:r>
          </w:p>
        </w:tc>
        <w:tc>
          <w:tcPr>
            <w:tcW w:w="2660" w:type="dxa"/>
            <w:vAlign w:val="center"/>
          </w:tcPr>
          <w:p w14:paraId="054EB8A2">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44.07 ± 8.80</w:t>
            </w:r>
          </w:p>
        </w:tc>
        <w:tc>
          <w:tcPr>
            <w:tcW w:w="2447" w:type="dxa"/>
            <w:vAlign w:val="center"/>
          </w:tcPr>
          <w:p w14:paraId="380DE37D">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47.83 ± 9.89</w:t>
            </w:r>
          </w:p>
        </w:tc>
        <w:tc>
          <w:tcPr>
            <w:tcW w:w="0" w:type="auto"/>
            <w:gridSpan w:val="2"/>
            <w:vAlign w:val="center"/>
          </w:tcPr>
          <w:p w14:paraId="07DCF493">
            <w:pPr>
              <w:spacing w:after="0" w:line="240" w:lineRule="auto"/>
              <w:jc w:val="center"/>
              <w:rPr>
                <w:rFonts w:ascii="Times New Roman" w:hAnsi="Times New Roman" w:eastAsia="Times New Roman" w:cs="Times New Roman"/>
                <w:b/>
                <w:bCs/>
                <w:color w:val="FF0000"/>
                <w:sz w:val="24"/>
                <w:szCs w:val="24"/>
                <w:lang w:val="en-US"/>
              </w:rPr>
            </w:pPr>
            <w:r>
              <w:rPr>
                <w:rFonts w:ascii="Times New Roman" w:hAnsi="Times New Roman" w:eastAsia="Times New Roman" w:cs="Times New Roman"/>
                <w:b/>
                <w:bCs/>
                <w:color w:val="FF0000"/>
                <w:sz w:val="24"/>
                <w:szCs w:val="24"/>
                <w:lang w:val="en-US"/>
              </w:rPr>
              <w:t>0.030*</w:t>
            </w:r>
          </w:p>
        </w:tc>
      </w:tr>
      <w:tr w14:paraId="7A0009D5">
        <w:tblPrEx>
          <w:tblCellMar>
            <w:top w:w="15" w:type="dxa"/>
            <w:left w:w="15" w:type="dxa"/>
            <w:bottom w:w="15" w:type="dxa"/>
            <w:right w:w="15" w:type="dxa"/>
          </w:tblCellMar>
        </w:tblPrEx>
        <w:trPr>
          <w:tblCellSpacing w:w="15" w:type="dxa"/>
        </w:trPr>
        <w:tc>
          <w:tcPr>
            <w:tcW w:w="3276" w:type="dxa"/>
            <w:vAlign w:val="center"/>
          </w:tcPr>
          <w:p w14:paraId="7943B5AC">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Temperature (°C)</w:t>
            </w:r>
          </w:p>
        </w:tc>
        <w:tc>
          <w:tcPr>
            <w:tcW w:w="2660" w:type="dxa"/>
            <w:vAlign w:val="center"/>
          </w:tcPr>
          <w:p w14:paraId="359D78C7">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37.50 ± 0.46</w:t>
            </w:r>
          </w:p>
        </w:tc>
        <w:tc>
          <w:tcPr>
            <w:tcW w:w="2447" w:type="dxa"/>
            <w:vAlign w:val="center"/>
          </w:tcPr>
          <w:p w14:paraId="752F3658">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38.23 ± 0.48</w:t>
            </w:r>
          </w:p>
        </w:tc>
        <w:tc>
          <w:tcPr>
            <w:tcW w:w="0" w:type="auto"/>
            <w:gridSpan w:val="2"/>
            <w:vAlign w:val="center"/>
          </w:tcPr>
          <w:p w14:paraId="2F44B5D2">
            <w:pPr>
              <w:spacing w:after="0" w:line="240" w:lineRule="auto"/>
              <w:jc w:val="center"/>
              <w:rPr>
                <w:rFonts w:ascii="Times New Roman" w:hAnsi="Times New Roman" w:eastAsia="Times New Roman" w:cs="Times New Roman"/>
                <w:b/>
                <w:bCs/>
                <w:color w:val="FF0000"/>
                <w:sz w:val="24"/>
                <w:szCs w:val="24"/>
                <w:lang w:val="en-US"/>
              </w:rPr>
            </w:pPr>
            <w:r>
              <w:rPr>
                <w:rFonts w:ascii="Times New Roman" w:hAnsi="Times New Roman" w:eastAsia="Times New Roman" w:cs="Times New Roman"/>
                <w:b/>
                <w:bCs/>
                <w:color w:val="FF0000"/>
                <w:sz w:val="24"/>
                <w:szCs w:val="24"/>
                <w:lang w:val="en-US"/>
              </w:rPr>
              <w:t>&lt;0.001*</w:t>
            </w:r>
          </w:p>
        </w:tc>
      </w:tr>
      <w:tr w14:paraId="223E889B">
        <w:tblPrEx>
          <w:tblCellMar>
            <w:top w:w="15" w:type="dxa"/>
            <w:left w:w="15" w:type="dxa"/>
            <w:bottom w:w="15" w:type="dxa"/>
            <w:right w:w="15" w:type="dxa"/>
          </w:tblCellMar>
        </w:tblPrEx>
        <w:trPr>
          <w:tblCellSpacing w:w="15" w:type="dxa"/>
        </w:trPr>
        <w:tc>
          <w:tcPr>
            <w:tcW w:w="3276" w:type="dxa"/>
            <w:vAlign w:val="center"/>
          </w:tcPr>
          <w:p w14:paraId="6E863AB2">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Oxygen saturation (%)</w:t>
            </w:r>
          </w:p>
        </w:tc>
        <w:tc>
          <w:tcPr>
            <w:tcW w:w="2660" w:type="dxa"/>
            <w:vAlign w:val="center"/>
          </w:tcPr>
          <w:p w14:paraId="2E86A47E">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95.90 ± 1.54</w:t>
            </w:r>
          </w:p>
        </w:tc>
        <w:tc>
          <w:tcPr>
            <w:tcW w:w="2447" w:type="dxa"/>
            <w:vAlign w:val="center"/>
          </w:tcPr>
          <w:p w14:paraId="7E6149EA">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88.98 ± 7.33</w:t>
            </w:r>
          </w:p>
        </w:tc>
        <w:tc>
          <w:tcPr>
            <w:tcW w:w="0" w:type="auto"/>
            <w:gridSpan w:val="2"/>
            <w:vAlign w:val="center"/>
          </w:tcPr>
          <w:p w14:paraId="755D9588">
            <w:pPr>
              <w:spacing w:after="0" w:line="240" w:lineRule="auto"/>
              <w:jc w:val="center"/>
              <w:rPr>
                <w:rFonts w:ascii="Times New Roman" w:hAnsi="Times New Roman" w:eastAsia="Times New Roman" w:cs="Times New Roman"/>
                <w:b/>
                <w:bCs/>
                <w:color w:val="FF0000"/>
                <w:sz w:val="24"/>
                <w:szCs w:val="24"/>
                <w:lang w:val="en-US"/>
              </w:rPr>
            </w:pPr>
            <w:r>
              <w:rPr>
                <w:rFonts w:ascii="Times New Roman" w:hAnsi="Times New Roman" w:eastAsia="Times New Roman" w:cs="Times New Roman"/>
                <w:b/>
                <w:bCs/>
                <w:color w:val="FF0000"/>
                <w:sz w:val="24"/>
                <w:szCs w:val="24"/>
                <w:lang w:val="en-US"/>
              </w:rPr>
              <w:t>&lt;0.001*</w:t>
            </w:r>
          </w:p>
        </w:tc>
      </w:tr>
      <w:tr w14:paraId="01C32F51">
        <w:tblPrEx>
          <w:tblCellMar>
            <w:top w:w="15" w:type="dxa"/>
            <w:left w:w="15" w:type="dxa"/>
            <w:bottom w:w="15" w:type="dxa"/>
            <w:right w:w="15" w:type="dxa"/>
          </w:tblCellMar>
        </w:tblPrEx>
        <w:trPr>
          <w:tblCellSpacing w:w="15" w:type="dxa"/>
        </w:trPr>
        <w:tc>
          <w:tcPr>
            <w:tcW w:w="3276" w:type="dxa"/>
            <w:vAlign w:val="center"/>
          </w:tcPr>
          <w:p w14:paraId="540B6212">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Systolic blood pressure (mmHg)</w:t>
            </w:r>
          </w:p>
        </w:tc>
        <w:tc>
          <w:tcPr>
            <w:tcW w:w="2660" w:type="dxa"/>
            <w:vAlign w:val="center"/>
          </w:tcPr>
          <w:p w14:paraId="53BE3C7B">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89.92 ± 10.51</w:t>
            </w:r>
          </w:p>
        </w:tc>
        <w:tc>
          <w:tcPr>
            <w:tcW w:w="2447" w:type="dxa"/>
            <w:vAlign w:val="center"/>
          </w:tcPr>
          <w:p w14:paraId="442322C2">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73.92 ± 20.54</w:t>
            </w:r>
          </w:p>
        </w:tc>
        <w:tc>
          <w:tcPr>
            <w:tcW w:w="0" w:type="auto"/>
            <w:gridSpan w:val="2"/>
            <w:vAlign w:val="center"/>
          </w:tcPr>
          <w:p w14:paraId="12F951C8">
            <w:pPr>
              <w:spacing w:after="0" w:line="240" w:lineRule="auto"/>
              <w:jc w:val="center"/>
              <w:rPr>
                <w:rFonts w:ascii="Times New Roman" w:hAnsi="Times New Roman" w:eastAsia="Times New Roman" w:cs="Times New Roman"/>
                <w:b/>
                <w:bCs/>
                <w:color w:val="FF0000"/>
                <w:sz w:val="24"/>
                <w:szCs w:val="24"/>
                <w:lang w:val="en-US"/>
              </w:rPr>
            </w:pPr>
            <w:r>
              <w:rPr>
                <w:rFonts w:ascii="Times New Roman" w:hAnsi="Times New Roman" w:eastAsia="Times New Roman" w:cs="Times New Roman"/>
                <w:b/>
                <w:bCs/>
                <w:color w:val="FF0000"/>
                <w:sz w:val="24"/>
                <w:szCs w:val="24"/>
                <w:lang w:val="en-US"/>
              </w:rPr>
              <w:t>&lt;0.001*</w:t>
            </w:r>
          </w:p>
        </w:tc>
      </w:tr>
      <w:tr w14:paraId="71398A38">
        <w:tblPrEx>
          <w:tblCellMar>
            <w:top w:w="15" w:type="dxa"/>
            <w:left w:w="15" w:type="dxa"/>
            <w:bottom w:w="15" w:type="dxa"/>
            <w:right w:w="15" w:type="dxa"/>
          </w:tblCellMar>
        </w:tblPrEx>
        <w:trPr>
          <w:tblCellSpacing w:w="15" w:type="dxa"/>
        </w:trPr>
        <w:tc>
          <w:tcPr>
            <w:tcW w:w="3276" w:type="dxa"/>
            <w:vAlign w:val="center"/>
          </w:tcPr>
          <w:p w14:paraId="37FAD8BE">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Diastolic blood pressure (mmHg)</w:t>
            </w:r>
          </w:p>
        </w:tc>
        <w:tc>
          <w:tcPr>
            <w:tcW w:w="2660" w:type="dxa"/>
            <w:vAlign w:val="center"/>
          </w:tcPr>
          <w:p w14:paraId="2D59D236">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56.67 ± 7.73</w:t>
            </w:r>
          </w:p>
        </w:tc>
        <w:tc>
          <w:tcPr>
            <w:tcW w:w="2447" w:type="dxa"/>
            <w:vAlign w:val="center"/>
          </w:tcPr>
          <w:p w14:paraId="69E21C49">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48.67 ± 16.20</w:t>
            </w:r>
          </w:p>
        </w:tc>
        <w:tc>
          <w:tcPr>
            <w:tcW w:w="0" w:type="auto"/>
            <w:gridSpan w:val="2"/>
            <w:vAlign w:val="center"/>
          </w:tcPr>
          <w:p w14:paraId="2263FEFA">
            <w:pPr>
              <w:spacing w:after="0" w:line="240" w:lineRule="auto"/>
              <w:jc w:val="center"/>
              <w:rPr>
                <w:rFonts w:ascii="Times New Roman" w:hAnsi="Times New Roman" w:eastAsia="Times New Roman" w:cs="Times New Roman"/>
                <w:b/>
                <w:bCs/>
                <w:color w:val="FF0000"/>
                <w:sz w:val="24"/>
                <w:szCs w:val="24"/>
                <w:lang w:val="en-US"/>
              </w:rPr>
            </w:pPr>
            <w:r>
              <w:rPr>
                <w:rFonts w:ascii="Times New Roman" w:hAnsi="Times New Roman" w:eastAsia="Times New Roman" w:cs="Times New Roman"/>
                <w:b/>
                <w:bCs/>
                <w:color w:val="FF0000"/>
                <w:sz w:val="24"/>
                <w:szCs w:val="24"/>
                <w:lang w:val="en-US"/>
              </w:rPr>
              <w:t>0.001*</w:t>
            </w:r>
          </w:p>
        </w:tc>
      </w:tr>
      <w:tr w14:paraId="57E4E8CF">
        <w:tblPrEx>
          <w:tblCellMar>
            <w:top w:w="15" w:type="dxa"/>
            <w:left w:w="15" w:type="dxa"/>
            <w:bottom w:w="15" w:type="dxa"/>
            <w:right w:w="15" w:type="dxa"/>
          </w:tblCellMar>
        </w:tblPrEx>
        <w:trPr>
          <w:tblCellSpacing w:w="15" w:type="dxa"/>
        </w:trPr>
        <w:tc>
          <w:tcPr>
            <w:tcW w:w="3276" w:type="dxa"/>
            <w:vAlign w:val="center"/>
          </w:tcPr>
          <w:p w14:paraId="47787889">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Hematological parameters</w:t>
            </w:r>
            <w:r>
              <w:rPr>
                <w:rFonts w:ascii="Times New Roman" w:hAnsi="Times New Roman" w:eastAsia="Times New Roman" w:cs="Times New Roman"/>
                <w:sz w:val="24"/>
                <w:szCs w:val="24"/>
                <w:lang w:val="en-US"/>
              </w:rPr>
              <w:t>, mean ± SD</w:t>
            </w:r>
          </w:p>
        </w:tc>
        <w:tc>
          <w:tcPr>
            <w:tcW w:w="2660" w:type="dxa"/>
            <w:vAlign w:val="center"/>
          </w:tcPr>
          <w:p w14:paraId="73B4F2B6">
            <w:pPr>
              <w:spacing w:after="0" w:line="240" w:lineRule="auto"/>
              <w:jc w:val="center"/>
              <w:rPr>
                <w:rFonts w:ascii="Times New Roman" w:hAnsi="Times New Roman" w:eastAsia="Times New Roman" w:cs="Times New Roman"/>
                <w:sz w:val="24"/>
                <w:szCs w:val="24"/>
                <w:lang w:val="en-US"/>
              </w:rPr>
            </w:pPr>
          </w:p>
        </w:tc>
        <w:tc>
          <w:tcPr>
            <w:tcW w:w="2447" w:type="dxa"/>
            <w:vAlign w:val="center"/>
          </w:tcPr>
          <w:p w14:paraId="7FD0333D">
            <w:pPr>
              <w:spacing w:after="0" w:line="240" w:lineRule="auto"/>
              <w:jc w:val="center"/>
              <w:rPr>
                <w:rFonts w:ascii="Times New Roman" w:hAnsi="Times New Roman" w:eastAsia="Times New Roman" w:cs="Times New Roman"/>
                <w:sz w:val="20"/>
                <w:szCs w:val="20"/>
                <w:lang w:val="en-US"/>
              </w:rPr>
            </w:pPr>
          </w:p>
        </w:tc>
        <w:tc>
          <w:tcPr>
            <w:tcW w:w="0" w:type="auto"/>
            <w:gridSpan w:val="2"/>
            <w:vAlign w:val="center"/>
          </w:tcPr>
          <w:p w14:paraId="714AA690">
            <w:pPr>
              <w:spacing w:after="0" w:line="240" w:lineRule="auto"/>
              <w:jc w:val="center"/>
              <w:rPr>
                <w:rFonts w:ascii="Times New Roman" w:hAnsi="Times New Roman" w:eastAsia="Times New Roman" w:cs="Times New Roman"/>
                <w:sz w:val="20"/>
                <w:szCs w:val="20"/>
                <w:lang w:val="en-US"/>
              </w:rPr>
            </w:pPr>
          </w:p>
        </w:tc>
      </w:tr>
      <w:tr w14:paraId="148164B9">
        <w:tblPrEx>
          <w:tblCellMar>
            <w:top w:w="15" w:type="dxa"/>
            <w:left w:w="15" w:type="dxa"/>
            <w:bottom w:w="15" w:type="dxa"/>
            <w:right w:w="15" w:type="dxa"/>
          </w:tblCellMar>
        </w:tblPrEx>
        <w:trPr>
          <w:tblCellSpacing w:w="15" w:type="dxa"/>
        </w:trPr>
        <w:tc>
          <w:tcPr>
            <w:tcW w:w="3276" w:type="dxa"/>
            <w:vAlign w:val="center"/>
          </w:tcPr>
          <w:p w14:paraId="03C428D7">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WBCs (/L)</w:t>
            </w:r>
          </w:p>
        </w:tc>
        <w:tc>
          <w:tcPr>
            <w:tcW w:w="2660" w:type="dxa"/>
            <w:vAlign w:val="center"/>
          </w:tcPr>
          <w:p w14:paraId="175F7934">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9993.58 ± 3287.02</w:t>
            </w:r>
          </w:p>
        </w:tc>
        <w:tc>
          <w:tcPr>
            <w:tcW w:w="2447" w:type="dxa"/>
            <w:vAlign w:val="center"/>
          </w:tcPr>
          <w:p w14:paraId="44B9831A">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14233.08 ± 4698.30</w:t>
            </w:r>
          </w:p>
        </w:tc>
        <w:tc>
          <w:tcPr>
            <w:tcW w:w="0" w:type="auto"/>
            <w:gridSpan w:val="2"/>
            <w:vAlign w:val="center"/>
          </w:tcPr>
          <w:p w14:paraId="1BE753AA">
            <w:pPr>
              <w:spacing w:after="0" w:line="240" w:lineRule="auto"/>
              <w:jc w:val="center"/>
              <w:rPr>
                <w:rFonts w:ascii="Times New Roman" w:hAnsi="Times New Roman" w:eastAsia="Times New Roman" w:cs="Times New Roman"/>
                <w:b/>
                <w:bCs/>
                <w:color w:val="FF0000"/>
                <w:sz w:val="24"/>
                <w:szCs w:val="24"/>
                <w:lang w:val="en-US"/>
              </w:rPr>
            </w:pPr>
            <w:r>
              <w:rPr>
                <w:rFonts w:ascii="Times New Roman" w:hAnsi="Times New Roman" w:eastAsia="Times New Roman" w:cs="Times New Roman"/>
                <w:b/>
                <w:bCs/>
                <w:color w:val="FF0000"/>
                <w:sz w:val="24"/>
                <w:szCs w:val="24"/>
                <w:lang w:val="en-US"/>
              </w:rPr>
              <w:t>&lt;0.001*</w:t>
            </w:r>
          </w:p>
        </w:tc>
      </w:tr>
      <w:tr w14:paraId="079C7FF9">
        <w:tblPrEx>
          <w:tblCellMar>
            <w:top w:w="15" w:type="dxa"/>
            <w:left w:w="15" w:type="dxa"/>
            <w:bottom w:w="15" w:type="dxa"/>
            <w:right w:w="15" w:type="dxa"/>
          </w:tblCellMar>
        </w:tblPrEx>
        <w:trPr>
          <w:tblCellSpacing w:w="15" w:type="dxa"/>
        </w:trPr>
        <w:tc>
          <w:tcPr>
            <w:tcW w:w="3276" w:type="dxa"/>
            <w:vAlign w:val="center"/>
          </w:tcPr>
          <w:p w14:paraId="4301B704">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Lymphocytes (%)</w:t>
            </w:r>
          </w:p>
        </w:tc>
        <w:tc>
          <w:tcPr>
            <w:tcW w:w="2660" w:type="dxa"/>
            <w:vAlign w:val="center"/>
          </w:tcPr>
          <w:p w14:paraId="33D6FBEE">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34.20 ± 12.35</w:t>
            </w:r>
          </w:p>
        </w:tc>
        <w:tc>
          <w:tcPr>
            <w:tcW w:w="2447" w:type="dxa"/>
            <w:vAlign w:val="center"/>
          </w:tcPr>
          <w:p w14:paraId="598BAD61">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31.96 ± 8.12</w:t>
            </w:r>
          </w:p>
        </w:tc>
        <w:tc>
          <w:tcPr>
            <w:tcW w:w="0" w:type="auto"/>
            <w:gridSpan w:val="2"/>
            <w:vAlign w:val="center"/>
          </w:tcPr>
          <w:p w14:paraId="5E874CDC">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0.244</w:t>
            </w:r>
          </w:p>
        </w:tc>
      </w:tr>
      <w:tr w14:paraId="206448F3">
        <w:tblPrEx>
          <w:tblCellMar>
            <w:top w:w="15" w:type="dxa"/>
            <w:left w:w="15" w:type="dxa"/>
            <w:bottom w:w="15" w:type="dxa"/>
            <w:right w:w="15" w:type="dxa"/>
          </w:tblCellMar>
        </w:tblPrEx>
        <w:trPr>
          <w:tblCellSpacing w:w="15" w:type="dxa"/>
        </w:trPr>
        <w:tc>
          <w:tcPr>
            <w:tcW w:w="3276" w:type="dxa"/>
            <w:vAlign w:val="center"/>
          </w:tcPr>
          <w:p w14:paraId="19E62417">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Neutrophils (%)</w:t>
            </w:r>
          </w:p>
        </w:tc>
        <w:tc>
          <w:tcPr>
            <w:tcW w:w="2660" w:type="dxa"/>
            <w:vAlign w:val="center"/>
          </w:tcPr>
          <w:p w14:paraId="2D033569">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54.36 ± 15.89</w:t>
            </w:r>
          </w:p>
        </w:tc>
        <w:tc>
          <w:tcPr>
            <w:tcW w:w="2447" w:type="dxa"/>
            <w:vAlign w:val="center"/>
          </w:tcPr>
          <w:p w14:paraId="6F24D9AE">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57.57 ± 6.92</w:t>
            </w:r>
          </w:p>
        </w:tc>
        <w:tc>
          <w:tcPr>
            <w:tcW w:w="0" w:type="auto"/>
            <w:gridSpan w:val="2"/>
            <w:vAlign w:val="center"/>
          </w:tcPr>
          <w:p w14:paraId="73BFCE8F">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0.153</w:t>
            </w:r>
          </w:p>
        </w:tc>
      </w:tr>
      <w:tr w14:paraId="55F2225C">
        <w:tblPrEx>
          <w:tblCellMar>
            <w:top w:w="15" w:type="dxa"/>
            <w:left w:w="15" w:type="dxa"/>
            <w:bottom w:w="15" w:type="dxa"/>
            <w:right w:w="15" w:type="dxa"/>
          </w:tblCellMar>
        </w:tblPrEx>
        <w:trPr>
          <w:tblCellSpacing w:w="15" w:type="dxa"/>
        </w:trPr>
        <w:tc>
          <w:tcPr>
            <w:tcW w:w="3276" w:type="dxa"/>
            <w:vAlign w:val="center"/>
          </w:tcPr>
          <w:p w14:paraId="424F55A3">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Monocytes (%)</w:t>
            </w:r>
          </w:p>
        </w:tc>
        <w:tc>
          <w:tcPr>
            <w:tcW w:w="2660" w:type="dxa"/>
            <w:vAlign w:val="center"/>
          </w:tcPr>
          <w:p w14:paraId="7895335D">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6.36 ± 1.91</w:t>
            </w:r>
          </w:p>
        </w:tc>
        <w:tc>
          <w:tcPr>
            <w:tcW w:w="2447" w:type="dxa"/>
            <w:vAlign w:val="center"/>
          </w:tcPr>
          <w:p w14:paraId="0EE07F3C">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5.70 ± 0.74</w:t>
            </w:r>
          </w:p>
        </w:tc>
        <w:tc>
          <w:tcPr>
            <w:tcW w:w="0" w:type="auto"/>
            <w:gridSpan w:val="2"/>
            <w:vAlign w:val="center"/>
          </w:tcPr>
          <w:p w14:paraId="557DCB6E">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0.014</w:t>
            </w:r>
          </w:p>
        </w:tc>
      </w:tr>
      <w:tr w14:paraId="166310DC">
        <w:tblPrEx>
          <w:tblCellMar>
            <w:top w:w="15" w:type="dxa"/>
            <w:left w:w="15" w:type="dxa"/>
            <w:bottom w:w="15" w:type="dxa"/>
            <w:right w:w="15" w:type="dxa"/>
          </w:tblCellMar>
        </w:tblPrEx>
        <w:trPr>
          <w:tblCellSpacing w:w="15" w:type="dxa"/>
        </w:trPr>
        <w:tc>
          <w:tcPr>
            <w:tcW w:w="3276" w:type="dxa"/>
            <w:vAlign w:val="center"/>
          </w:tcPr>
          <w:p w14:paraId="451D16BD">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RBCs (million/L)</w:t>
            </w:r>
          </w:p>
        </w:tc>
        <w:tc>
          <w:tcPr>
            <w:tcW w:w="2660" w:type="dxa"/>
            <w:vAlign w:val="center"/>
          </w:tcPr>
          <w:p w14:paraId="07FE190B">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3.88 ± 0.86</w:t>
            </w:r>
          </w:p>
        </w:tc>
        <w:tc>
          <w:tcPr>
            <w:tcW w:w="2447" w:type="dxa"/>
            <w:vAlign w:val="center"/>
          </w:tcPr>
          <w:p w14:paraId="3A13804E">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3.94 ± 0.44</w:t>
            </w:r>
          </w:p>
        </w:tc>
        <w:tc>
          <w:tcPr>
            <w:tcW w:w="0" w:type="auto"/>
            <w:gridSpan w:val="2"/>
            <w:vAlign w:val="center"/>
          </w:tcPr>
          <w:p w14:paraId="192E0ADA">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0.680</w:t>
            </w:r>
          </w:p>
        </w:tc>
      </w:tr>
      <w:tr w14:paraId="70F8C1EB">
        <w:tblPrEx>
          <w:tblCellMar>
            <w:top w:w="15" w:type="dxa"/>
            <w:left w:w="15" w:type="dxa"/>
            <w:bottom w:w="15" w:type="dxa"/>
            <w:right w:w="15" w:type="dxa"/>
          </w:tblCellMar>
        </w:tblPrEx>
        <w:trPr>
          <w:tblCellSpacing w:w="15" w:type="dxa"/>
        </w:trPr>
        <w:tc>
          <w:tcPr>
            <w:tcW w:w="3276" w:type="dxa"/>
            <w:vAlign w:val="center"/>
          </w:tcPr>
          <w:p w14:paraId="718A7C38">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Hemoglobin (g/L)</w:t>
            </w:r>
          </w:p>
        </w:tc>
        <w:tc>
          <w:tcPr>
            <w:tcW w:w="2660" w:type="dxa"/>
            <w:vAlign w:val="center"/>
          </w:tcPr>
          <w:p w14:paraId="68CC684D">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9.48 ± 0.88</w:t>
            </w:r>
          </w:p>
        </w:tc>
        <w:tc>
          <w:tcPr>
            <w:tcW w:w="2447" w:type="dxa"/>
            <w:vAlign w:val="center"/>
          </w:tcPr>
          <w:p w14:paraId="04CA4AD6">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9.71 ± 1.57</w:t>
            </w:r>
          </w:p>
        </w:tc>
        <w:tc>
          <w:tcPr>
            <w:tcW w:w="0" w:type="auto"/>
            <w:gridSpan w:val="2"/>
            <w:vAlign w:val="center"/>
          </w:tcPr>
          <w:p w14:paraId="5FA5A6B1">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0.327</w:t>
            </w:r>
          </w:p>
        </w:tc>
      </w:tr>
      <w:tr w14:paraId="4402FBDB">
        <w:tblPrEx>
          <w:tblCellMar>
            <w:top w:w="15" w:type="dxa"/>
            <w:left w:w="15" w:type="dxa"/>
            <w:bottom w:w="15" w:type="dxa"/>
            <w:right w:w="15" w:type="dxa"/>
          </w:tblCellMar>
        </w:tblPrEx>
        <w:trPr>
          <w:tblCellSpacing w:w="15" w:type="dxa"/>
        </w:trPr>
        <w:tc>
          <w:tcPr>
            <w:tcW w:w="3276" w:type="dxa"/>
            <w:vAlign w:val="center"/>
          </w:tcPr>
          <w:p w14:paraId="12344A9C">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Hematocrit value (%)</w:t>
            </w:r>
          </w:p>
        </w:tc>
        <w:tc>
          <w:tcPr>
            <w:tcW w:w="2660" w:type="dxa"/>
            <w:vAlign w:val="center"/>
          </w:tcPr>
          <w:p w14:paraId="7B1F0E6C">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27.59 ± 3.46</w:t>
            </w:r>
          </w:p>
        </w:tc>
        <w:tc>
          <w:tcPr>
            <w:tcW w:w="2447" w:type="dxa"/>
            <w:vAlign w:val="center"/>
          </w:tcPr>
          <w:p w14:paraId="71793793">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30.60 ± 4.26</w:t>
            </w:r>
          </w:p>
        </w:tc>
        <w:tc>
          <w:tcPr>
            <w:tcW w:w="0" w:type="auto"/>
            <w:gridSpan w:val="2"/>
            <w:vAlign w:val="center"/>
          </w:tcPr>
          <w:p w14:paraId="5255E36F">
            <w:pPr>
              <w:spacing w:after="0" w:line="240" w:lineRule="auto"/>
              <w:jc w:val="center"/>
              <w:rPr>
                <w:rFonts w:ascii="Times New Roman" w:hAnsi="Times New Roman" w:eastAsia="Times New Roman" w:cs="Times New Roman"/>
                <w:b/>
                <w:bCs/>
                <w:color w:val="FF0000"/>
                <w:sz w:val="24"/>
                <w:szCs w:val="24"/>
                <w:lang w:val="en-US"/>
              </w:rPr>
            </w:pPr>
            <w:r>
              <w:rPr>
                <w:rFonts w:ascii="Times New Roman" w:hAnsi="Times New Roman" w:eastAsia="Times New Roman" w:cs="Times New Roman"/>
                <w:b/>
                <w:bCs/>
                <w:color w:val="FF0000"/>
                <w:sz w:val="24"/>
                <w:szCs w:val="24"/>
                <w:lang w:val="en-US"/>
              </w:rPr>
              <w:t>&lt;0.001*</w:t>
            </w:r>
          </w:p>
        </w:tc>
      </w:tr>
      <w:tr w14:paraId="3D8C3C09">
        <w:tblPrEx>
          <w:tblCellMar>
            <w:top w:w="15" w:type="dxa"/>
            <w:left w:w="15" w:type="dxa"/>
            <w:bottom w:w="15" w:type="dxa"/>
            <w:right w:w="15" w:type="dxa"/>
          </w:tblCellMar>
        </w:tblPrEx>
        <w:trPr>
          <w:tblCellSpacing w:w="15" w:type="dxa"/>
        </w:trPr>
        <w:tc>
          <w:tcPr>
            <w:tcW w:w="3276" w:type="dxa"/>
            <w:vAlign w:val="center"/>
          </w:tcPr>
          <w:p w14:paraId="4184D4EE">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MCV</w:t>
            </w:r>
          </w:p>
        </w:tc>
        <w:tc>
          <w:tcPr>
            <w:tcW w:w="2660" w:type="dxa"/>
            <w:vAlign w:val="center"/>
          </w:tcPr>
          <w:p w14:paraId="1FE9762B">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84.50 ± 5.80</w:t>
            </w:r>
          </w:p>
        </w:tc>
        <w:tc>
          <w:tcPr>
            <w:tcW w:w="2447" w:type="dxa"/>
            <w:vAlign w:val="center"/>
          </w:tcPr>
          <w:p w14:paraId="5A6722F1">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77.90 ± 9.04</w:t>
            </w:r>
          </w:p>
        </w:tc>
        <w:tc>
          <w:tcPr>
            <w:tcW w:w="0" w:type="auto"/>
            <w:gridSpan w:val="2"/>
            <w:vAlign w:val="center"/>
          </w:tcPr>
          <w:p w14:paraId="41B450CA">
            <w:pPr>
              <w:spacing w:after="0" w:line="240" w:lineRule="auto"/>
              <w:jc w:val="center"/>
              <w:rPr>
                <w:rFonts w:ascii="Times New Roman" w:hAnsi="Times New Roman" w:eastAsia="Times New Roman" w:cs="Times New Roman"/>
                <w:b/>
                <w:bCs/>
                <w:color w:val="FF0000"/>
                <w:sz w:val="24"/>
                <w:szCs w:val="24"/>
                <w:lang w:val="en-US"/>
              </w:rPr>
            </w:pPr>
            <w:r>
              <w:rPr>
                <w:rFonts w:ascii="Times New Roman" w:hAnsi="Times New Roman" w:eastAsia="Times New Roman" w:cs="Times New Roman"/>
                <w:b/>
                <w:bCs/>
                <w:color w:val="FF0000"/>
                <w:sz w:val="24"/>
                <w:szCs w:val="24"/>
                <w:lang w:val="en-US"/>
              </w:rPr>
              <w:t>&lt;0.001*</w:t>
            </w:r>
          </w:p>
        </w:tc>
      </w:tr>
      <w:tr w14:paraId="38DE39C7">
        <w:tblPrEx>
          <w:tblCellMar>
            <w:top w:w="15" w:type="dxa"/>
            <w:left w:w="15" w:type="dxa"/>
            <w:bottom w:w="15" w:type="dxa"/>
            <w:right w:w="15" w:type="dxa"/>
          </w:tblCellMar>
        </w:tblPrEx>
        <w:trPr>
          <w:tblCellSpacing w:w="15" w:type="dxa"/>
        </w:trPr>
        <w:tc>
          <w:tcPr>
            <w:tcW w:w="3276" w:type="dxa"/>
            <w:vAlign w:val="center"/>
          </w:tcPr>
          <w:p w14:paraId="47E7F944">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MCH</w:t>
            </w:r>
          </w:p>
        </w:tc>
        <w:tc>
          <w:tcPr>
            <w:tcW w:w="2660" w:type="dxa"/>
            <w:vAlign w:val="center"/>
          </w:tcPr>
          <w:p w14:paraId="295270EF">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28.40 ± 1.19</w:t>
            </w:r>
          </w:p>
        </w:tc>
        <w:tc>
          <w:tcPr>
            <w:tcW w:w="2447" w:type="dxa"/>
            <w:vAlign w:val="center"/>
          </w:tcPr>
          <w:p w14:paraId="5AC34263">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24.56 ± 3.27</w:t>
            </w:r>
          </w:p>
        </w:tc>
        <w:tc>
          <w:tcPr>
            <w:tcW w:w="0" w:type="auto"/>
            <w:gridSpan w:val="2"/>
            <w:vAlign w:val="center"/>
          </w:tcPr>
          <w:p w14:paraId="0FD6A756">
            <w:pPr>
              <w:spacing w:after="0" w:line="240" w:lineRule="auto"/>
              <w:jc w:val="center"/>
              <w:rPr>
                <w:rFonts w:ascii="Times New Roman" w:hAnsi="Times New Roman" w:eastAsia="Times New Roman" w:cs="Times New Roman"/>
                <w:b/>
                <w:bCs/>
                <w:color w:val="FF0000"/>
                <w:sz w:val="24"/>
                <w:szCs w:val="24"/>
                <w:lang w:val="en-US"/>
              </w:rPr>
            </w:pPr>
            <w:r>
              <w:rPr>
                <w:rFonts w:ascii="Times New Roman" w:hAnsi="Times New Roman" w:eastAsia="Times New Roman" w:cs="Times New Roman"/>
                <w:b/>
                <w:bCs/>
                <w:color w:val="FF0000"/>
                <w:sz w:val="24"/>
                <w:szCs w:val="24"/>
                <w:lang w:val="en-US"/>
              </w:rPr>
              <w:t>&lt;0.001*</w:t>
            </w:r>
          </w:p>
        </w:tc>
      </w:tr>
      <w:tr w14:paraId="241A3845">
        <w:tblPrEx>
          <w:tblCellMar>
            <w:top w:w="15" w:type="dxa"/>
            <w:left w:w="15" w:type="dxa"/>
            <w:bottom w:w="15" w:type="dxa"/>
            <w:right w:w="15" w:type="dxa"/>
          </w:tblCellMar>
        </w:tblPrEx>
        <w:trPr>
          <w:tblCellSpacing w:w="15" w:type="dxa"/>
        </w:trPr>
        <w:tc>
          <w:tcPr>
            <w:tcW w:w="3276" w:type="dxa"/>
            <w:vAlign w:val="center"/>
          </w:tcPr>
          <w:p w14:paraId="405B4F39">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MCHC</w:t>
            </w:r>
          </w:p>
        </w:tc>
        <w:tc>
          <w:tcPr>
            <w:tcW w:w="2660" w:type="dxa"/>
            <w:vAlign w:val="center"/>
          </w:tcPr>
          <w:p w14:paraId="09FB25F0">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33.35 ± 1.94</w:t>
            </w:r>
          </w:p>
        </w:tc>
        <w:tc>
          <w:tcPr>
            <w:tcW w:w="2447" w:type="dxa"/>
            <w:vAlign w:val="center"/>
          </w:tcPr>
          <w:p w14:paraId="02EB0EB4">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31.54 ± 1.86</w:t>
            </w:r>
          </w:p>
        </w:tc>
        <w:tc>
          <w:tcPr>
            <w:tcW w:w="0" w:type="auto"/>
            <w:gridSpan w:val="2"/>
            <w:vAlign w:val="center"/>
          </w:tcPr>
          <w:p w14:paraId="0E9FD0CE">
            <w:pPr>
              <w:spacing w:after="0" w:line="240" w:lineRule="auto"/>
              <w:jc w:val="center"/>
              <w:rPr>
                <w:rFonts w:ascii="Times New Roman" w:hAnsi="Times New Roman" w:eastAsia="Times New Roman" w:cs="Times New Roman"/>
                <w:b/>
                <w:bCs/>
                <w:color w:val="FF0000"/>
                <w:sz w:val="24"/>
                <w:szCs w:val="24"/>
                <w:lang w:val="en-US"/>
              </w:rPr>
            </w:pPr>
            <w:r>
              <w:rPr>
                <w:rFonts w:ascii="Times New Roman" w:hAnsi="Times New Roman" w:eastAsia="Times New Roman" w:cs="Times New Roman"/>
                <w:b/>
                <w:bCs/>
                <w:color w:val="FF0000"/>
                <w:sz w:val="24"/>
                <w:szCs w:val="24"/>
                <w:lang w:val="en-US"/>
              </w:rPr>
              <w:t>&lt;0.001*</w:t>
            </w:r>
          </w:p>
        </w:tc>
      </w:tr>
      <w:tr w14:paraId="6D0D52F0">
        <w:tblPrEx>
          <w:tblCellMar>
            <w:top w:w="15" w:type="dxa"/>
            <w:left w:w="15" w:type="dxa"/>
            <w:bottom w:w="15" w:type="dxa"/>
            <w:right w:w="15" w:type="dxa"/>
          </w:tblCellMar>
        </w:tblPrEx>
        <w:trPr>
          <w:tblCellSpacing w:w="15" w:type="dxa"/>
        </w:trPr>
        <w:tc>
          <w:tcPr>
            <w:tcW w:w="3276" w:type="dxa"/>
            <w:vAlign w:val="center"/>
          </w:tcPr>
          <w:p w14:paraId="1CED79D9">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Platelets (/L)</w:t>
            </w:r>
          </w:p>
        </w:tc>
        <w:tc>
          <w:tcPr>
            <w:tcW w:w="2660" w:type="dxa"/>
            <w:vAlign w:val="center"/>
          </w:tcPr>
          <w:p w14:paraId="5D6837F2">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468050.00 ± 221943.75</w:t>
            </w:r>
          </w:p>
        </w:tc>
        <w:tc>
          <w:tcPr>
            <w:tcW w:w="2447" w:type="dxa"/>
            <w:vAlign w:val="center"/>
          </w:tcPr>
          <w:p w14:paraId="02372F03">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317666.66 ± 104715.05</w:t>
            </w:r>
          </w:p>
        </w:tc>
        <w:tc>
          <w:tcPr>
            <w:tcW w:w="0" w:type="auto"/>
            <w:gridSpan w:val="2"/>
            <w:vAlign w:val="center"/>
          </w:tcPr>
          <w:p w14:paraId="1A132F61">
            <w:pPr>
              <w:spacing w:after="0" w:line="240" w:lineRule="auto"/>
              <w:jc w:val="center"/>
              <w:rPr>
                <w:rFonts w:ascii="Times New Roman" w:hAnsi="Times New Roman" w:eastAsia="Times New Roman" w:cs="Times New Roman"/>
                <w:b/>
                <w:bCs/>
                <w:color w:val="FF0000"/>
                <w:sz w:val="24"/>
                <w:szCs w:val="24"/>
                <w:lang w:val="en-US"/>
              </w:rPr>
            </w:pPr>
            <w:r>
              <w:rPr>
                <w:rFonts w:ascii="Times New Roman" w:hAnsi="Times New Roman" w:eastAsia="Times New Roman" w:cs="Times New Roman"/>
                <w:b/>
                <w:bCs/>
                <w:color w:val="FF0000"/>
                <w:sz w:val="24"/>
                <w:szCs w:val="24"/>
                <w:lang w:val="en-US"/>
              </w:rPr>
              <w:t>&lt;0.001*</w:t>
            </w:r>
          </w:p>
        </w:tc>
      </w:tr>
      <w:tr w14:paraId="5AAAA8C1">
        <w:tblPrEx>
          <w:tblCellMar>
            <w:top w:w="15" w:type="dxa"/>
            <w:left w:w="15" w:type="dxa"/>
            <w:bottom w:w="15" w:type="dxa"/>
            <w:right w:w="15" w:type="dxa"/>
          </w:tblCellMar>
        </w:tblPrEx>
        <w:trPr>
          <w:tblCellSpacing w:w="15" w:type="dxa"/>
        </w:trPr>
        <w:tc>
          <w:tcPr>
            <w:tcW w:w="3276" w:type="dxa"/>
            <w:vAlign w:val="center"/>
          </w:tcPr>
          <w:p w14:paraId="3333A298">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Biochemical parameters</w:t>
            </w:r>
            <w:r>
              <w:rPr>
                <w:rFonts w:ascii="Times New Roman" w:hAnsi="Times New Roman" w:eastAsia="Times New Roman" w:cs="Times New Roman"/>
                <w:sz w:val="24"/>
                <w:szCs w:val="24"/>
                <w:lang w:val="en-US"/>
              </w:rPr>
              <w:t>, mean ± SD</w:t>
            </w:r>
          </w:p>
        </w:tc>
        <w:tc>
          <w:tcPr>
            <w:tcW w:w="2660" w:type="dxa"/>
            <w:vAlign w:val="center"/>
          </w:tcPr>
          <w:p w14:paraId="5EF18027">
            <w:pPr>
              <w:spacing w:after="0" w:line="240" w:lineRule="auto"/>
              <w:jc w:val="center"/>
              <w:rPr>
                <w:rFonts w:ascii="Times New Roman" w:hAnsi="Times New Roman" w:eastAsia="Times New Roman" w:cs="Times New Roman"/>
                <w:sz w:val="24"/>
                <w:szCs w:val="24"/>
                <w:lang w:val="en-US"/>
              </w:rPr>
            </w:pPr>
          </w:p>
        </w:tc>
        <w:tc>
          <w:tcPr>
            <w:tcW w:w="2447" w:type="dxa"/>
            <w:vAlign w:val="center"/>
          </w:tcPr>
          <w:p w14:paraId="71CE3753">
            <w:pPr>
              <w:spacing w:after="0" w:line="240" w:lineRule="auto"/>
              <w:jc w:val="center"/>
              <w:rPr>
                <w:rFonts w:ascii="Times New Roman" w:hAnsi="Times New Roman" w:eastAsia="Times New Roman" w:cs="Times New Roman"/>
                <w:sz w:val="20"/>
                <w:szCs w:val="20"/>
                <w:lang w:val="en-US"/>
              </w:rPr>
            </w:pPr>
          </w:p>
        </w:tc>
        <w:tc>
          <w:tcPr>
            <w:tcW w:w="0" w:type="auto"/>
            <w:gridSpan w:val="2"/>
            <w:vAlign w:val="center"/>
          </w:tcPr>
          <w:p w14:paraId="0F2D5F38">
            <w:pPr>
              <w:spacing w:after="0" w:line="240" w:lineRule="auto"/>
              <w:jc w:val="center"/>
              <w:rPr>
                <w:rFonts w:ascii="Times New Roman" w:hAnsi="Times New Roman" w:eastAsia="Times New Roman" w:cs="Times New Roman"/>
                <w:sz w:val="20"/>
                <w:szCs w:val="20"/>
                <w:lang w:val="en-US"/>
              </w:rPr>
            </w:pPr>
          </w:p>
        </w:tc>
      </w:tr>
      <w:tr w14:paraId="3E081E04">
        <w:tblPrEx>
          <w:tblCellMar>
            <w:top w:w="15" w:type="dxa"/>
            <w:left w:w="15" w:type="dxa"/>
            <w:bottom w:w="15" w:type="dxa"/>
            <w:right w:w="15" w:type="dxa"/>
          </w:tblCellMar>
        </w:tblPrEx>
        <w:trPr>
          <w:tblCellSpacing w:w="15" w:type="dxa"/>
        </w:trPr>
        <w:tc>
          <w:tcPr>
            <w:tcW w:w="3276" w:type="dxa"/>
            <w:vAlign w:val="center"/>
          </w:tcPr>
          <w:p w14:paraId="6018E3E8">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BUN (mmol/L)</w:t>
            </w:r>
          </w:p>
        </w:tc>
        <w:tc>
          <w:tcPr>
            <w:tcW w:w="2660" w:type="dxa"/>
            <w:vAlign w:val="center"/>
          </w:tcPr>
          <w:p w14:paraId="35EC156C">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3.61 ± 0.45</w:t>
            </w:r>
          </w:p>
        </w:tc>
        <w:tc>
          <w:tcPr>
            <w:tcW w:w="2447" w:type="dxa"/>
            <w:vAlign w:val="center"/>
          </w:tcPr>
          <w:p w14:paraId="3CFE976B">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4.23 ± 2.76</w:t>
            </w:r>
          </w:p>
        </w:tc>
        <w:tc>
          <w:tcPr>
            <w:tcW w:w="0" w:type="auto"/>
            <w:gridSpan w:val="2"/>
            <w:vAlign w:val="center"/>
          </w:tcPr>
          <w:p w14:paraId="0E03ACC8">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0.880</w:t>
            </w:r>
          </w:p>
        </w:tc>
      </w:tr>
      <w:tr w14:paraId="0390CC1E">
        <w:tblPrEx>
          <w:tblCellMar>
            <w:top w:w="15" w:type="dxa"/>
            <w:left w:w="15" w:type="dxa"/>
            <w:bottom w:w="15" w:type="dxa"/>
            <w:right w:w="15" w:type="dxa"/>
          </w:tblCellMar>
        </w:tblPrEx>
        <w:trPr>
          <w:tblCellSpacing w:w="15" w:type="dxa"/>
        </w:trPr>
        <w:tc>
          <w:tcPr>
            <w:tcW w:w="3276" w:type="dxa"/>
            <w:vAlign w:val="center"/>
          </w:tcPr>
          <w:p w14:paraId="5874637B">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Creatinine (mg/dl)</w:t>
            </w:r>
          </w:p>
        </w:tc>
        <w:tc>
          <w:tcPr>
            <w:tcW w:w="2660" w:type="dxa"/>
            <w:vAlign w:val="center"/>
          </w:tcPr>
          <w:p w14:paraId="04195255">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0.25 ± 0.085</w:t>
            </w:r>
          </w:p>
        </w:tc>
        <w:tc>
          <w:tcPr>
            <w:tcW w:w="2447" w:type="dxa"/>
            <w:vAlign w:val="center"/>
          </w:tcPr>
          <w:p w14:paraId="5A7848E4">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0.32 ± 0.13</w:t>
            </w:r>
          </w:p>
        </w:tc>
        <w:tc>
          <w:tcPr>
            <w:tcW w:w="0" w:type="auto"/>
            <w:gridSpan w:val="2"/>
            <w:vAlign w:val="center"/>
          </w:tcPr>
          <w:p w14:paraId="53912DA4">
            <w:pPr>
              <w:spacing w:after="0" w:line="240" w:lineRule="auto"/>
              <w:jc w:val="center"/>
              <w:rPr>
                <w:rFonts w:ascii="Times New Roman" w:hAnsi="Times New Roman" w:eastAsia="Times New Roman" w:cs="Times New Roman"/>
                <w:b/>
                <w:bCs/>
                <w:color w:val="FF0000"/>
                <w:sz w:val="24"/>
                <w:szCs w:val="24"/>
                <w:lang w:val="en-US"/>
              </w:rPr>
            </w:pPr>
            <w:r>
              <w:rPr>
                <w:rFonts w:ascii="Times New Roman" w:hAnsi="Times New Roman" w:eastAsia="Times New Roman" w:cs="Times New Roman"/>
                <w:b/>
                <w:bCs/>
                <w:color w:val="FF0000"/>
                <w:sz w:val="24"/>
                <w:szCs w:val="24"/>
                <w:lang w:val="en-US"/>
              </w:rPr>
              <w:t>0.001*</w:t>
            </w:r>
          </w:p>
        </w:tc>
      </w:tr>
      <w:tr w14:paraId="023016F5">
        <w:tblPrEx>
          <w:tblCellMar>
            <w:top w:w="15" w:type="dxa"/>
            <w:left w:w="15" w:type="dxa"/>
            <w:bottom w:w="15" w:type="dxa"/>
            <w:right w:w="15" w:type="dxa"/>
          </w:tblCellMar>
        </w:tblPrEx>
        <w:trPr>
          <w:tblCellSpacing w:w="15" w:type="dxa"/>
        </w:trPr>
        <w:tc>
          <w:tcPr>
            <w:tcW w:w="3276" w:type="dxa"/>
            <w:vAlign w:val="center"/>
          </w:tcPr>
          <w:p w14:paraId="64F33EB6">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Na (mmol/L)</w:t>
            </w:r>
          </w:p>
        </w:tc>
        <w:tc>
          <w:tcPr>
            <w:tcW w:w="2660" w:type="dxa"/>
            <w:vAlign w:val="center"/>
          </w:tcPr>
          <w:p w14:paraId="62B9C593">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137.85 ± 2.19</w:t>
            </w:r>
          </w:p>
        </w:tc>
        <w:tc>
          <w:tcPr>
            <w:tcW w:w="2447" w:type="dxa"/>
            <w:vAlign w:val="center"/>
          </w:tcPr>
          <w:p w14:paraId="0BDD831B">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140.23 ± 8.57</w:t>
            </w:r>
          </w:p>
        </w:tc>
        <w:tc>
          <w:tcPr>
            <w:tcW w:w="0" w:type="auto"/>
            <w:gridSpan w:val="2"/>
            <w:vAlign w:val="center"/>
          </w:tcPr>
          <w:p w14:paraId="4BFB4919">
            <w:pPr>
              <w:spacing w:after="0" w:line="240" w:lineRule="auto"/>
              <w:jc w:val="center"/>
              <w:rPr>
                <w:rFonts w:ascii="Times New Roman" w:hAnsi="Times New Roman" w:eastAsia="Times New Roman" w:cs="Times New Roman"/>
                <w:b/>
                <w:bCs/>
                <w:color w:val="FF0000"/>
                <w:sz w:val="24"/>
                <w:szCs w:val="24"/>
                <w:lang w:val="en-US"/>
              </w:rPr>
            </w:pPr>
            <w:r>
              <w:rPr>
                <w:rFonts w:ascii="Times New Roman" w:hAnsi="Times New Roman" w:eastAsia="Times New Roman" w:cs="Times New Roman"/>
                <w:b/>
                <w:bCs/>
                <w:color w:val="FF0000"/>
                <w:sz w:val="24"/>
                <w:szCs w:val="24"/>
                <w:lang w:val="en-US"/>
              </w:rPr>
              <w:t>0.041*</w:t>
            </w:r>
          </w:p>
        </w:tc>
      </w:tr>
      <w:tr w14:paraId="5FCF8540">
        <w:tblPrEx>
          <w:tblCellMar>
            <w:top w:w="15" w:type="dxa"/>
            <w:left w:w="15" w:type="dxa"/>
            <w:bottom w:w="15" w:type="dxa"/>
            <w:right w:w="15" w:type="dxa"/>
          </w:tblCellMar>
        </w:tblPrEx>
        <w:trPr>
          <w:tblCellSpacing w:w="15" w:type="dxa"/>
        </w:trPr>
        <w:tc>
          <w:tcPr>
            <w:tcW w:w="3276" w:type="dxa"/>
            <w:vAlign w:val="center"/>
          </w:tcPr>
          <w:p w14:paraId="09ED6470">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K (mmol/L)</w:t>
            </w:r>
          </w:p>
        </w:tc>
        <w:tc>
          <w:tcPr>
            <w:tcW w:w="2660" w:type="dxa"/>
            <w:vAlign w:val="center"/>
          </w:tcPr>
          <w:p w14:paraId="7332CF57">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4.93 ± 0.68</w:t>
            </w:r>
          </w:p>
        </w:tc>
        <w:tc>
          <w:tcPr>
            <w:tcW w:w="2447" w:type="dxa"/>
            <w:vAlign w:val="center"/>
          </w:tcPr>
          <w:p w14:paraId="7F492558">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4.52 ± 1.10</w:t>
            </w:r>
          </w:p>
        </w:tc>
        <w:tc>
          <w:tcPr>
            <w:tcW w:w="0" w:type="auto"/>
            <w:gridSpan w:val="2"/>
            <w:vAlign w:val="center"/>
          </w:tcPr>
          <w:p w14:paraId="342A8F7D">
            <w:pPr>
              <w:spacing w:after="0" w:line="240" w:lineRule="auto"/>
              <w:jc w:val="center"/>
              <w:rPr>
                <w:rFonts w:ascii="Times New Roman" w:hAnsi="Times New Roman" w:eastAsia="Times New Roman" w:cs="Times New Roman"/>
                <w:b/>
                <w:bCs/>
                <w:color w:val="FF0000"/>
                <w:sz w:val="24"/>
                <w:szCs w:val="24"/>
                <w:lang w:val="en-US"/>
              </w:rPr>
            </w:pPr>
            <w:r>
              <w:rPr>
                <w:rFonts w:ascii="Times New Roman" w:hAnsi="Times New Roman" w:eastAsia="Times New Roman" w:cs="Times New Roman"/>
                <w:b/>
                <w:bCs/>
                <w:color w:val="FF0000"/>
                <w:sz w:val="24"/>
                <w:szCs w:val="24"/>
                <w:lang w:val="en-US"/>
              </w:rPr>
              <w:t>0.017*</w:t>
            </w:r>
          </w:p>
        </w:tc>
      </w:tr>
      <w:tr w14:paraId="0411A400">
        <w:tblPrEx>
          <w:tblCellMar>
            <w:top w:w="15" w:type="dxa"/>
            <w:left w:w="15" w:type="dxa"/>
            <w:bottom w:w="15" w:type="dxa"/>
            <w:right w:w="15" w:type="dxa"/>
          </w:tblCellMar>
        </w:tblPrEx>
        <w:trPr>
          <w:tblCellSpacing w:w="15" w:type="dxa"/>
        </w:trPr>
        <w:tc>
          <w:tcPr>
            <w:tcW w:w="3276" w:type="dxa"/>
            <w:vAlign w:val="center"/>
          </w:tcPr>
          <w:p w14:paraId="3737D619">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Ca (mg/dl)</w:t>
            </w:r>
          </w:p>
        </w:tc>
        <w:tc>
          <w:tcPr>
            <w:tcW w:w="2660" w:type="dxa"/>
            <w:vAlign w:val="center"/>
          </w:tcPr>
          <w:p w14:paraId="741D3B7F">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8.77 ± 0.27</w:t>
            </w:r>
          </w:p>
        </w:tc>
        <w:tc>
          <w:tcPr>
            <w:tcW w:w="2447" w:type="dxa"/>
            <w:vAlign w:val="center"/>
          </w:tcPr>
          <w:p w14:paraId="20805CBE">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8.81 ± 0.75</w:t>
            </w:r>
          </w:p>
        </w:tc>
        <w:tc>
          <w:tcPr>
            <w:tcW w:w="0" w:type="auto"/>
            <w:gridSpan w:val="2"/>
            <w:vAlign w:val="center"/>
          </w:tcPr>
          <w:p w14:paraId="7772A42F">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0.689</w:t>
            </w:r>
          </w:p>
        </w:tc>
      </w:tr>
      <w:tr w14:paraId="3A52B394">
        <w:tblPrEx>
          <w:tblCellMar>
            <w:top w:w="15" w:type="dxa"/>
            <w:left w:w="15" w:type="dxa"/>
            <w:bottom w:w="15" w:type="dxa"/>
            <w:right w:w="15" w:type="dxa"/>
          </w:tblCellMar>
        </w:tblPrEx>
        <w:trPr>
          <w:tblCellSpacing w:w="15" w:type="dxa"/>
        </w:trPr>
        <w:tc>
          <w:tcPr>
            <w:tcW w:w="3276" w:type="dxa"/>
            <w:vAlign w:val="center"/>
          </w:tcPr>
          <w:p w14:paraId="33CD5078">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Total proteins (g/dL)</w:t>
            </w:r>
          </w:p>
        </w:tc>
        <w:tc>
          <w:tcPr>
            <w:tcW w:w="2660" w:type="dxa"/>
            <w:vAlign w:val="center"/>
          </w:tcPr>
          <w:p w14:paraId="6694D579">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6.81 ± 1.16</w:t>
            </w:r>
          </w:p>
        </w:tc>
        <w:tc>
          <w:tcPr>
            <w:tcW w:w="2447" w:type="dxa"/>
            <w:vAlign w:val="center"/>
          </w:tcPr>
          <w:p w14:paraId="76CE608A">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5.70 ± 1.11</w:t>
            </w:r>
          </w:p>
        </w:tc>
        <w:tc>
          <w:tcPr>
            <w:tcW w:w="0" w:type="auto"/>
            <w:gridSpan w:val="2"/>
            <w:vAlign w:val="center"/>
          </w:tcPr>
          <w:p w14:paraId="665A8950">
            <w:pPr>
              <w:spacing w:after="0" w:line="240" w:lineRule="auto"/>
              <w:jc w:val="center"/>
              <w:rPr>
                <w:rFonts w:ascii="Times New Roman" w:hAnsi="Times New Roman" w:eastAsia="Times New Roman" w:cs="Times New Roman"/>
                <w:b/>
                <w:bCs/>
                <w:sz w:val="24"/>
                <w:szCs w:val="24"/>
                <w:lang w:val="en-US"/>
              </w:rPr>
            </w:pPr>
            <w:r>
              <w:rPr>
                <w:rFonts w:ascii="Times New Roman" w:hAnsi="Times New Roman" w:eastAsia="Times New Roman" w:cs="Times New Roman"/>
                <w:b/>
                <w:bCs/>
                <w:color w:val="FF0000"/>
                <w:sz w:val="24"/>
                <w:szCs w:val="24"/>
                <w:lang w:val="en-US"/>
              </w:rPr>
              <w:t>&lt;0.001*</w:t>
            </w:r>
          </w:p>
        </w:tc>
      </w:tr>
      <w:tr w14:paraId="0290844D">
        <w:tblPrEx>
          <w:tblCellMar>
            <w:top w:w="15" w:type="dxa"/>
            <w:left w:w="15" w:type="dxa"/>
            <w:bottom w:w="15" w:type="dxa"/>
            <w:right w:w="15" w:type="dxa"/>
          </w:tblCellMar>
        </w:tblPrEx>
        <w:trPr>
          <w:tblCellSpacing w:w="15" w:type="dxa"/>
        </w:trPr>
        <w:tc>
          <w:tcPr>
            <w:tcW w:w="3276" w:type="dxa"/>
            <w:vAlign w:val="center"/>
          </w:tcPr>
          <w:p w14:paraId="11C015BA">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Albumin (g/dL)</w:t>
            </w:r>
          </w:p>
        </w:tc>
        <w:tc>
          <w:tcPr>
            <w:tcW w:w="2660" w:type="dxa"/>
            <w:vAlign w:val="center"/>
          </w:tcPr>
          <w:p w14:paraId="110E35B3">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3.88 ± 0.33</w:t>
            </w:r>
          </w:p>
        </w:tc>
        <w:tc>
          <w:tcPr>
            <w:tcW w:w="2447" w:type="dxa"/>
            <w:vAlign w:val="center"/>
          </w:tcPr>
          <w:p w14:paraId="692EBF2F">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3.56 ± 0.77</w:t>
            </w:r>
          </w:p>
        </w:tc>
        <w:tc>
          <w:tcPr>
            <w:tcW w:w="0" w:type="auto"/>
            <w:gridSpan w:val="2"/>
            <w:vAlign w:val="center"/>
          </w:tcPr>
          <w:p w14:paraId="41695FE4">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0.004</w:t>
            </w:r>
          </w:p>
        </w:tc>
      </w:tr>
      <w:tr w14:paraId="74C2C5D8">
        <w:tblPrEx>
          <w:tblCellMar>
            <w:top w:w="15" w:type="dxa"/>
            <w:left w:w="15" w:type="dxa"/>
            <w:bottom w:w="15" w:type="dxa"/>
            <w:right w:w="15" w:type="dxa"/>
          </w:tblCellMar>
        </w:tblPrEx>
        <w:trPr>
          <w:tblCellSpacing w:w="15" w:type="dxa"/>
        </w:trPr>
        <w:tc>
          <w:tcPr>
            <w:tcW w:w="3276" w:type="dxa"/>
            <w:vAlign w:val="center"/>
          </w:tcPr>
          <w:p w14:paraId="7D30229C">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ALT (U/L)</w:t>
            </w:r>
          </w:p>
        </w:tc>
        <w:tc>
          <w:tcPr>
            <w:tcW w:w="2660" w:type="dxa"/>
            <w:vAlign w:val="center"/>
          </w:tcPr>
          <w:p w14:paraId="3AACB40F">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23.33 ± 7.60</w:t>
            </w:r>
          </w:p>
        </w:tc>
        <w:tc>
          <w:tcPr>
            <w:tcW w:w="2447" w:type="dxa"/>
            <w:vAlign w:val="center"/>
          </w:tcPr>
          <w:p w14:paraId="0E8477E6">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28.00 ± 21.20</w:t>
            </w:r>
          </w:p>
        </w:tc>
        <w:tc>
          <w:tcPr>
            <w:tcW w:w="0" w:type="auto"/>
            <w:gridSpan w:val="2"/>
            <w:vAlign w:val="center"/>
          </w:tcPr>
          <w:p w14:paraId="0AF85ADF">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0.105</w:t>
            </w:r>
          </w:p>
        </w:tc>
      </w:tr>
      <w:tr w14:paraId="3E5611E7">
        <w:tblPrEx>
          <w:tblCellMar>
            <w:top w:w="15" w:type="dxa"/>
            <w:left w:w="15" w:type="dxa"/>
            <w:bottom w:w="15" w:type="dxa"/>
            <w:right w:w="15" w:type="dxa"/>
          </w:tblCellMar>
        </w:tblPrEx>
        <w:trPr>
          <w:tblCellSpacing w:w="15" w:type="dxa"/>
        </w:trPr>
        <w:tc>
          <w:tcPr>
            <w:tcW w:w="3276" w:type="dxa"/>
            <w:vAlign w:val="center"/>
          </w:tcPr>
          <w:p w14:paraId="6F2CEF72">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AST (U/L)</w:t>
            </w:r>
          </w:p>
        </w:tc>
        <w:tc>
          <w:tcPr>
            <w:tcW w:w="2660" w:type="dxa"/>
            <w:vAlign w:val="center"/>
          </w:tcPr>
          <w:p w14:paraId="29EACB8C">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36.65 ± 30.75</w:t>
            </w:r>
          </w:p>
        </w:tc>
        <w:tc>
          <w:tcPr>
            <w:tcW w:w="2447" w:type="dxa"/>
            <w:vAlign w:val="center"/>
          </w:tcPr>
          <w:p w14:paraId="2F8F7953">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39.02 ± 16.41</w:t>
            </w:r>
          </w:p>
        </w:tc>
        <w:tc>
          <w:tcPr>
            <w:tcW w:w="0" w:type="auto"/>
            <w:gridSpan w:val="2"/>
            <w:vAlign w:val="center"/>
          </w:tcPr>
          <w:p w14:paraId="2E2E3939">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0.600</w:t>
            </w:r>
          </w:p>
        </w:tc>
      </w:tr>
      <w:tr w14:paraId="5E3DC328">
        <w:tblPrEx>
          <w:tblCellMar>
            <w:top w:w="15" w:type="dxa"/>
            <w:left w:w="15" w:type="dxa"/>
            <w:bottom w:w="15" w:type="dxa"/>
            <w:right w:w="15" w:type="dxa"/>
          </w:tblCellMar>
        </w:tblPrEx>
        <w:trPr>
          <w:tblCellSpacing w:w="15" w:type="dxa"/>
        </w:trPr>
        <w:tc>
          <w:tcPr>
            <w:tcW w:w="3276" w:type="dxa"/>
            <w:vAlign w:val="center"/>
          </w:tcPr>
          <w:p w14:paraId="06F9AEBA">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ALP (U/L)</w:t>
            </w:r>
          </w:p>
        </w:tc>
        <w:tc>
          <w:tcPr>
            <w:tcW w:w="2660" w:type="dxa"/>
            <w:vAlign w:val="center"/>
          </w:tcPr>
          <w:p w14:paraId="33B0C6F3">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315.85 ± 137.61</w:t>
            </w:r>
          </w:p>
        </w:tc>
        <w:tc>
          <w:tcPr>
            <w:tcW w:w="2447" w:type="dxa"/>
            <w:vAlign w:val="center"/>
          </w:tcPr>
          <w:p w14:paraId="1FCD26A8">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274.00 ± 340.39</w:t>
            </w:r>
          </w:p>
        </w:tc>
        <w:tc>
          <w:tcPr>
            <w:tcW w:w="0" w:type="auto"/>
            <w:gridSpan w:val="2"/>
            <w:vAlign w:val="center"/>
          </w:tcPr>
          <w:p w14:paraId="1C50AE5C">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0.379</w:t>
            </w:r>
          </w:p>
        </w:tc>
      </w:tr>
      <w:tr w14:paraId="4C50AAEE">
        <w:tblPrEx>
          <w:tblCellMar>
            <w:top w:w="15" w:type="dxa"/>
            <w:left w:w="15" w:type="dxa"/>
            <w:bottom w:w="15" w:type="dxa"/>
            <w:right w:w="15" w:type="dxa"/>
          </w:tblCellMar>
        </w:tblPrEx>
        <w:trPr>
          <w:tblCellSpacing w:w="15" w:type="dxa"/>
        </w:trPr>
        <w:tc>
          <w:tcPr>
            <w:tcW w:w="3276" w:type="dxa"/>
            <w:vAlign w:val="center"/>
          </w:tcPr>
          <w:p w14:paraId="0274B72B">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Total bilirubin (mg/dL)</w:t>
            </w:r>
          </w:p>
        </w:tc>
        <w:tc>
          <w:tcPr>
            <w:tcW w:w="2660" w:type="dxa"/>
            <w:vAlign w:val="center"/>
          </w:tcPr>
          <w:p w14:paraId="52A393BC">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0.42 ± 0.28</w:t>
            </w:r>
          </w:p>
        </w:tc>
        <w:tc>
          <w:tcPr>
            <w:tcW w:w="2447" w:type="dxa"/>
            <w:vAlign w:val="center"/>
          </w:tcPr>
          <w:p w14:paraId="68676618">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0.38 ± 0.23</w:t>
            </w:r>
          </w:p>
        </w:tc>
        <w:tc>
          <w:tcPr>
            <w:tcW w:w="0" w:type="auto"/>
            <w:gridSpan w:val="2"/>
            <w:vAlign w:val="center"/>
          </w:tcPr>
          <w:p w14:paraId="61C48C8B">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0.372</w:t>
            </w:r>
          </w:p>
        </w:tc>
      </w:tr>
      <w:tr w14:paraId="0BBDBECC">
        <w:tblPrEx>
          <w:tblCellMar>
            <w:top w:w="15" w:type="dxa"/>
            <w:left w:w="15" w:type="dxa"/>
            <w:bottom w:w="15" w:type="dxa"/>
            <w:right w:w="15" w:type="dxa"/>
          </w:tblCellMar>
        </w:tblPrEx>
        <w:trPr>
          <w:tblCellSpacing w:w="15" w:type="dxa"/>
        </w:trPr>
        <w:tc>
          <w:tcPr>
            <w:tcW w:w="3276" w:type="dxa"/>
            <w:vAlign w:val="center"/>
          </w:tcPr>
          <w:p w14:paraId="4DBA3EA8">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Direct bilirubin (mg/dL)</w:t>
            </w:r>
          </w:p>
        </w:tc>
        <w:tc>
          <w:tcPr>
            <w:tcW w:w="2660" w:type="dxa"/>
            <w:vAlign w:val="center"/>
          </w:tcPr>
          <w:p w14:paraId="7D0296D5">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0.17 ± 0.15</w:t>
            </w:r>
          </w:p>
        </w:tc>
        <w:tc>
          <w:tcPr>
            <w:tcW w:w="2447" w:type="dxa"/>
            <w:vAlign w:val="center"/>
          </w:tcPr>
          <w:p w14:paraId="6761677B">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0.14 ± 0.14</w:t>
            </w:r>
          </w:p>
        </w:tc>
        <w:tc>
          <w:tcPr>
            <w:tcW w:w="0" w:type="auto"/>
            <w:gridSpan w:val="2"/>
            <w:vAlign w:val="center"/>
          </w:tcPr>
          <w:p w14:paraId="1ECBCE80">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0.220</w:t>
            </w:r>
          </w:p>
        </w:tc>
      </w:tr>
      <w:tr w14:paraId="516387CE">
        <w:tblPrEx>
          <w:tblCellMar>
            <w:top w:w="15" w:type="dxa"/>
            <w:left w:w="15" w:type="dxa"/>
            <w:bottom w:w="15" w:type="dxa"/>
            <w:right w:w="15" w:type="dxa"/>
          </w:tblCellMar>
        </w:tblPrEx>
        <w:trPr>
          <w:tblCellSpacing w:w="15" w:type="dxa"/>
        </w:trPr>
        <w:tc>
          <w:tcPr>
            <w:tcW w:w="3276" w:type="dxa"/>
            <w:vAlign w:val="center"/>
          </w:tcPr>
          <w:p w14:paraId="094D57BA">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C-reactive protein (mg/L)</w:t>
            </w:r>
          </w:p>
        </w:tc>
        <w:tc>
          <w:tcPr>
            <w:tcW w:w="2660" w:type="dxa"/>
            <w:vAlign w:val="center"/>
          </w:tcPr>
          <w:p w14:paraId="772B3636">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3.60 ± 8.58</w:t>
            </w:r>
          </w:p>
        </w:tc>
        <w:tc>
          <w:tcPr>
            <w:tcW w:w="2447" w:type="dxa"/>
            <w:vAlign w:val="center"/>
          </w:tcPr>
          <w:p w14:paraId="4FCBA5EF">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45.06 ± 44.31</w:t>
            </w:r>
          </w:p>
        </w:tc>
        <w:tc>
          <w:tcPr>
            <w:tcW w:w="0" w:type="auto"/>
            <w:gridSpan w:val="2"/>
            <w:vAlign w:val="center"/>
          </w:tcPr>
          <w:p w14:paraId="52A9A674">
            <w:pPr>
              <w:spacing w:after="0" w:line="240" w:lineRule="auto"/>
              <w:jc w:val="center"/>
              <w:rPr>
                <w:rFonts w:ascii="Times New Roman" w:hAnsi="Times New Roman" w:eastAsia="Times New Roman" w:cs="Times New Roman"/>
                <w:b/>
                <w:bCs/>
                <w:sz w:val="24"/>
                <w:szCs w:val="24"/>
                <w:lang w:val="en-US"/>
              </w:rPr>
            </w:pPr>
            <w:r>
              <w:rPr>
                <w:rFonts w:ascii="Times New Roman" w:hAnsi="Times New Roman" w:eastAsia="Times New Roman" w:cs="Times New Roman"/>
                <w:b/>
                <w:bCs/>
                <w:color w:val="FF0000"/>
                <w:sz w:val="24"/>
                <w:szCs w:val="24"/>
                <w:lang w:val="en-US"/>
              </w:rPr>
              <w:t>&lt;0.001*</w:t>
            </w:r>
          </w:p>
        </w:tc>
      </w:tr>
      <w:tr w14:paraId="1FDB7217">
        <w:tblPrEx>
          <w:tblCellMar>
            <w:top w:w="15" w:type="dxa"/>
            <w:left w:w="15" w:type="dxa"/>
            <w:bottom w:w="15" w:type="dxa"/>
            <w:right w:w="15" w:type="dxa"/>
          </w:tblCellMar>
        </w:tblPrEx>
        <w:trPr>
          <w:tblCellSpacing w:w="15" w:type="dxa"/>
        </w:trPr>
        <w:tc>
          <w:tcPr>
            <w:tcW w:w="3276" w:type="dxa"/>
            <w:vAlign w:val="center"/>
          </w:tcPr>
          <w:p w14:paraId="725DD79A">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Clinical presentation in cases, n (%)</w:t>
            </w:r>
          </w:p>
        </w:tc>
        <w:tc>
          <w:tcPr>
            <w:tcW w:w="2660" w:type="dxa"/>
            <w:vAlign w:val="center"/>
          </w:tcPr>
          <w:p w14:paraId="1525331F">
            <w:pPr>
              <w:spacing w:after="0" w:line="240" w:lineRule="auto"/>
              <w:jc w:val="center"/>
              <w:rPr>
                <w:rFonts w:ascii="Times New Roman" w:hAnsi="Times New Roman" w:eastAsia="Times New Roman" w:cs="Times New Roman"/>
                <w:sz w:val="24"/>
                <w:szCs w:val="24"/>
                <w:lang w:val="en-US"/>
              </w:rPr>
            </w:pPr>
          </w:p>
        </w:tc>
        <w:tc>
          <w:tcPr>
            <w:tcW w:w="2447" w:type="dxa"/>
            <w:vAlign w:val="center"/>
          </w:tcPr>
          <w:p w14:paraId="4F26EF9F">
            <w:pPr>
              <w:spacing w:after="0" w:line="240" w:lineRule="auto"/>
              <w:jc w:val="center"/>
              <w:rPr>
                <w:rFonts w:ascii="Times New Roman" w:hAnsi="Times New Roman" w:eastAsia="Times New Roman" w:cs="Times New Roman"/>
                <w:sz w:val="20"/>
                <w:szCs w:val="20"/>
                <w:lang w:val="en-US"/>
              </w:rPr>
            </w:pPr>
          </w:p>
        </w:tc>
        <w:tc>
          <w:tcPr>
            <w:tcW w:w="0" w:type="auto"/>
            <w:gridSpan w:val="2"/>
            <w:vAlign w:val="center"/>
          </w:tcPr>
          <w:p w14:paraId="23C38BEB">
            <w:pPr>
              <w:spacing w:after="0" w:line="240" w:lineRule="auto"/>
              <w:jc w:val="center"/>
              <w:rPr>
                <w:rFonts w:ascii="Times New Roman" w:hAnsi="Times New Roman" w:eastAsia="Times New Roman" w:cs="Times New Roman"/>
                <w:sz w:val="20"/>
                <w:szCs w:val="20"/>
                <w:lang w:val="en-US"/>
              </w:rPr>
            </w:pPr>
          </w:p>
        </w:tc>
      </w:tr>
      <w:tr w14:paraId="23ACCE5A">
        <w:tblPrEx>
          <w:tblCellMar>
            <w:top w:w="15" w:type="dxa"/>
            <w:left w:w="15" w:type="dxa"/>
            <w:bottom w:w="15" w:type="dxa"/>
            <w:right w:w="15" w:type="dxa"/>
          </w:tblCellMar>
        </w:tblPrEx>
        <w:trPr>
          <w:tblCellSpacing w:w="15" w:type="dxa"/>
        </w:trPr>
        <w:tc>
          <w:tcPr>
            <w:tcW w:w="3276" w:type="dxa"/>
            <w:vAlign w:val="center"/>
          </w:tcPr>
          <w:p w14:paraId="40B4AD47">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Fever</w:t>
            </w:r>
          </w:p>
        </w:tc>
        <w:tc>
          <w:tcPr>
            <w:tcW w:w="2660" w:type="dxa"/>
            <w:vAlign w:val="center"/>
          </w:tcPr>
          <w:p w14:paraId="6E685D39">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t>
            </w:r>
          </w:p>
        </w:tc>
        <w:tc>
          <w:tcPr>
            <w:tcW w:w="2447" w:type="dxa"/>
            <w:vAlign w:val="center"/>
          </w:tcPr>
          <w:p w14:paraId="34CD4B25">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50 (83.0)</w:t>
            </w:r>
          </w:p>
        </w:tc>
        <w:tc>
          <w:tcPr>
            <w:tcW w:w="0" w:type="auto"/>
            <w:gridSpan w:val="2"/>
            <w:vAlign w:val="center"/>
          </w:tcPr>
          <w:p w14:paraId="42C89299">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t>
            </w:r>
          </w:p>
        </w:tc>
      </w:tr>
      <w:tr w14:paraId="792C6ED2">
        <w:tblPrEx>
          <w:tblCellMar>
            <w:top w:w="15" w:type="dxa"/>
            <w:left w:w="15" w:type="dxa"/>
            <w:bottom w:w="15" w:type="dxa"/>
            <w:right w:w="15" w:type="dxa"/>
          </w:tblCellMar>
        </w:tblPrEx>
        <w:trPr>
          <w:tblCellSpacing w:w="15" w:type="dxa"/>
        </w:trPr>
        <w:tc>
          <w:tcPr>
            <w:tcW w:w="3276" w:type="dxa"/>
            <w:vAlign w:val="center"/>
          </w:tcPr>
          <w:p w14:paraId="37751336">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Difficulty of breathing</w:t>
            </w:r>
          </w:p>
        </w:tc>
        <w:tc>
          <w:tcPr>
            <w:tcW w:w="2660" w:type="dxa"/>
            <w:vAlign w:val="center"/>
          </w:tcPr>
          <w:p w14:paraId="216EC128">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t>
            </w:r>
          </w:p>
        </w:tc>
        <w:tc>
          <w:tcPr>
            <w:tcW w:w="2447" w:type="dxa"/>
            <w:vAlign w:val="center"/>
          </w:tcPr>
          <w:p w14:paraId="30F4DA66">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45 (75.0)</w:t>
            </w:r>
          </w:p>
        </w:tc>
        <w:tc>
          <w:tcPr>
            <w:tcW w:w="0" w:type="auto"/>
            <w:gridSpan w:val="2"/>
            <w:vAlign w:val="center"/>
          </w:tcPr>
          <w:p w14:paraId="3C6B3DBE">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t>
            </w:r>
          </w:p>
        </w:tc>
      </w:tr>
      <w:tr w14:paraId="4E3572E2">
        <w:tblPrEx>
          <w:tblCellMar>
            <w:top w:w="15" w:type="dxa"/>
            <w:left w:w="15" w:type="dxa"/>
            <w:bottom w:w="15" w:type="dxa"/>
            <w:right w:w="15" w:type="dxa"/>
          </w:tblCellMar>
        </w:tblPrEx>
        <w:trPr>
          <w:tblCellSpacing w:w="15" w:type="dxa"/>
        </w:trPr>
        <w:tc>
          <w:tcPr>
            <w:tcW w:w="3276" w:type="dxa"/>
            <w:vAlign w:val="center"/>
          </w:tcPr>
          <w:p w14:paraId="38A47576">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Dry cough</w:t>
            </w:r>
          </w:p>
        </w:tc>
        <w:tc>
          <w:tcPr>
            <w:tcW w:w="2660" w:type="dxa"/>
            <w:vAlign w:val="center"/>
          </w:tcPr>
          <w:p w14:paraId="183AFD6C">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t>
            </w:r>
          </w:p>
        </w:tc>
        <w:tc>
          <w:tcPr>
            <w:tcW w:w="2447" w:type="dxa"/>
            <w:vAlign w:val="center"/>
          </w:tcPr>
          <w:p w14:paraId="2A18CBA3">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44 (73.0)</w:t>
            </w:r>
          </w:p>
        </w:tc>
        <w:tc>
          <w:tcPr>
            <w:tcW w:w="0" w:type="auto"/>
            <w:gridSpan w:val="2"/>
            <w:vAlign w:val="center"/>
          </w:tcPr>
          <w:p w14:paraId="1448F6EC">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t>
            </w:r>
          </w:p>
        </w:tc>
      </w:tr>
      <w:tr w14:paraId="07533459">
        <w:tblPrEx>
          <w:tblCellMar>
            <w:top w:w="15" w:type="dxa"/>
            <w:left w:w="15" w:type="dxa"/>
            <w:bottom w:w="15" w:type="dxa"/>
            <w:right w:w="15" w:type="dxa"/>
          </w:tblCellMar>
        </w:tblPrEx>
        <w:trPr>
          <w:tblCellSpacing w:w="15" w:type="dxa"/>
        </w:trPr>
        <w:tc>
          <w:tcPr>
            <w:tcW w:w="3276" w:type="dxa"/>
            <w:vAlign w:val="center"/>
          </w:tcPr>
          <w:p w14:paraId="738515F3">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Wet cough</w:t>
            </w:r>
          </w:p>
        </w:tc>
        <w:tc>
          <w:tcPr>
            <w:tcW w:w="2660" w:type="dxa"/>
            <w:vAlign w:val="center"/>
          </w:tcPr>
          <w:p w14:paraId="53A800EA">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t>
            </w:r>
          </w:p>
        </w:tc>
        <w:tc>
          <w:tcPr>
            <w:tcW w:w="2447" w:type="dxa"/>
            <w:vAlign w:val="center"/>
          </w:tcPr>
          <w:p w14:paraId="6F37F1BD">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16 (27.0)</w:t>
            </w:r>
          </w:p>
        </w:tc>
        <w:tc>
          <w:tcPr>
            <w:tcW w:w="0" w:type="auto"/>
            <w:gridSpan w:val="2"/>
            <w:vAlign w:val="center"/>
          </w:tcPr>
          <w:p w14:paraId="5041CC9B">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t>
            </w:r>
          </w:p>
        </w:tc>
      </w:tr>
      <w:tr w14:paraId="72EE12F1">
        <w:tblPrEx>
          <w:tblCellMar>
            <w:top w:w="15" w:type="dxa"/>
            <w:left w:w="15" w:type="dxa"/>
            <w:bottom w:w="15" w:type="dxa"/>
            <w:right w:w="15" w:type="dxa"/>
          </w:tblCellMar>
        </w:tblPrEx>
        <w:trPr>
          <w:tblCellSpacing w:w="15" w:type="dxa"/>
        </w:trPr>
        <w:tc>
          <w:tcPr>
            <w:tcW w:w="3276" w:type="dxa"/>
            <w:vAlign w:val="center"/>
          </w:tcPr>
          <w:p w14:paraId="1E0BEC3D">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Previous hospital admission</w:t>
            </w:r>
          </w:p>
        </w:tc>
        <w:tc>
          <w:tcPr>
            <w:tcW w:w="2660" w:type="dxa"/>
            <w:vAlign w:val="center"/>
          </w:tcPr>
          <w:p w14:paraId="4A729296">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t>
            </w:r>
          </w:p>
        </w:tc>
        <w:tc>
          <w:tcPr>
            <w:tcW w:w="2447" w:type="dxa"/>
            <w:vAlign w:val="center"/>
          </w:tcPr>
          <w:p w14:paraId="286E67B3">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20 (33.3)</w:t>
            </w:r>
          </w:p>
        </w:tc>
        <w:tc>
          <w:tcPr>
            <w:tcW w:w="0" w:type="auto"/>
            <w:gridSpan w:val="2"/>
            <w:vAlign w:val="center"/>
          </w:tcPr>
          <w:p w14:paraId="2E8D0463">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t>
            </w:r>
          </w:p>
        </w:tc>
      </w:tr>
      <w:tr w14:paraId="2B8DE4F9">
        <w:tblPrEx>
          <w:tblCellMar>
            <w:top w:w="15" w:type="dxa"/>
            <w:left w:w="15" w:type="dxa"/>
            <w:bottom w:w="15" w:type="dxa"/>
            <w:right w:w="15" w:type="dxa"/>
          </w:tblCellMar>
        </w:tblPrEx>
        <w:trPr>
          <w:tblCellSpacing w:w="15" w:type="dxa"/>
        </w:trPr>
        <w:tc>
          <w:tcPr>
            <w:tcW w:w="3276" w:type="dxa"/>
            <w:vAlign w:val="center"/>
          </w:tcPr>
          <w:p w14:paraId="3259A49B">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Previous admission to NICU</w:t>
            </w:r>
          </w:p>
        </w:tc>
        <w:tc>
          <w:tcPr>
            <w:tcW w:w="2660" w:type="dxa"/>
            <w:vAlign w:val="center"/>
          </w:tcPr>
          <w:p w14:paraId="340CAE4B">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t>
            </w:r>
          </w:p>
        </w:tc>
        <w:tc>
          <w:tcPr>
            <w:tcW w:w="2447" w:type="dxa"/>
            <w:vAlign w:val="center"/>
          </w:tcPr>
          <w:p w14:paraId="658740DF">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8 (13.0)</w:t>
            </w:r>
          </w:p>
        </w:tc>
        <w:tc>
          <w:tcPr>
            <w:tcW w:w="0" w:type="auto"/>
            <w:gridSpan w:val="2"/>
            <w:vAlign w:val="center"/>
          </w:tcPr>
          <w:p w14:paraId="10D08BBF">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t>
            </w:r>
          </w:p>
        </w:tc>
      </w:tr>
      <w:tr w14:paraId="34DB0F9E">
        <w:tblPrEx>
          <w:tblCellMar>
            <w:top w:w="15" w:type="dxa"/>
            <w:left w:w="15" w:type="dxa"/>
            <w:bottom w:w="15" w:type="dxa"/>
            <w:right w:w="15" w:type="dxa"/>
          </w:tblCellMar>
        </w:tblPrEx>
        <w:trPr>
          <w:tblCellSpacing w:w="15" w:type="dxa"/>
        </w:trPr>
        <w:tc>
          <w:tcPr>
            <w:tcW w:w="3276" w:type="dxa"/>
            <w:vAlign w:val="center"/>
          </w:tcPr>
          <w:p w14:paraId="7D95DBFA">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Clinical respiratory score, n (%)</w:t>
            </w:r>
          </w:p>
        </w:tc>
        <w:tc>
          <w:tcPr>
            <w:tcW w:w="2660" w:type="dxa"/>
            <w:vAlign w:val="center"/>
          </w:tcPr>
          <w:p w14:paraId="7924F682">
            <w:pPr>
              <w:spacing w:after="0" w:line="240" w:lineRule="auto"/>
              <w:jc w:val="center"/>
              <w:rPr>
                <w:rFonts w:ascii="Times New Roman" w:hAnsi="Times New Roman" w:eastAsia="Times New Roman" w:cs="Times New Roman"/>
                <w:sz w:val="24"/>
                <w:szCs w:val="24"/>
                <w:lang w:val="en-US"/>
              </w:rPr>
            </w:pPr>
          </w:p>
        </w:tc>
        <w:tc>
          <w:tcPr>
            <w:tcW w:w="2447" w:type="dxa"/>
            <w:vAlign w:val="center"/>
          </w:tcPr>
          <w:p w14:paraId="1A11E0A0">
            <w:pPr>
              <w:spacing w:after="0" w:line="240" w:lineRule="auto"/>
              <w:jc w:val="center"/>
              <w:rPr>
                <w:rFonts w:ascii="Times New Roman" w:hAnsi="Times New Roman" w:eastAsia="Times New Roman" w:cs="Times New Roman"/>
                <w:sz w:val="20"/>
                <w:szCs w:val="20"/>
                <w:lang w:val="en-US"/>
              </w:rPr>
            </w:pPr>
          </w:p>
        </w:tc>
        <w:tc>
          <w:tcPr>
            <w:tcW w:w="0" w:type="auto"/>
            <w:gridSpan w:val="2"/>
            <w:vAlign w:val="center"/>
          </w:tcPr>
          <w:p w14:paraId="3AE3164B">
            <w:pPr>
              <w:spacing w:after="0" w:line="240" w:lineRule="auto"/>
              <w:jc w:val="center"/>
              <w:rPr>
                <w:rFonts w:ascii="Times New Roman" w:hAnsi="Times New Roman" w:eastAsia="Times New Roman" w:cs="Times New Roman"/>
                <w:sz w:val="20"/>
                <w:szCs w:val="20"/>
                <w:lang w:val="en-US"/>
              </w:rPr>
            </w:pPr>
          </w:p>
        </w:tc>
      </w:tr>
      <w:tr w14:paraId="75758E59">
        <w:tblPrEx>
          <w:tblCellMar>
            <w:top w:w="15" w:type="dxa"/>
            <w:left w:w="15" w:type="dxa"/>
            <w:bottom w:w="15" w:type="dxa"/>
            <w:right w:w="15" w:type="dxa"/>
          </w:tblCellMar>
        </w:tblPrEx>
        <w:trPr>
          <w:tblCellSpacing w:w="15" w:type="dxa"/>
        </w:trPr>
        <w:tc>
          <w:tcPr>
            <w:tcW w:w="3276" w:type="dxa"/>
            <w:vAlign w:val="center"/>
          </w:tcPr>
          <w:p w14:paraId="52F2E81B">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Mild (≤3)</w:t>
            </w:r>
          </w:p>
        </w:tc>
        <w:tc>
          <w:tcPr>
            <w:tcW w:w="2660" w:type="dxa"/>
            <w:vAlign w:val="center"/>
          </w:tcPr>
          <w:p w14:paraId="4BBF2721">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t>
            </w:r>
          </w:p>
        </w:tc>
        <w:tc>
          <w:tcPr>
            <w:tcW w:w="2447" w:type="dxa"/>
            <w:vAlign w:val="center"/>
          </w:tcPr>
          <w:p w14:paraId="7F4CF639">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14 (23.4)</w:t>
            </w:r>
          </w:p>
        </w:tc>
        <w:tc>
          <w:tcPr>
            <w:tcW w:w="0" w:type="auto"/>
            <w:gridSpan w:val="2"/>
            <w:vAlign w:val="center"/>
          </w:tcPr>
          <w:p w14:paraId="468EF5B9">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t>
            </w:r>
          </w:p>
        </w:tc>
      </w:tr>
      <w:tr w14:paraId="285397A2">
        <w:tblPrEx>
          <w:tblCellMar>
            <w:top w:w="15" w:type="dxa"/>
            <w:left w:w="15" w:type="dxa"/>
            <w:bottom w:w="15" w:type="dxa"/>
            <w:right w:w="15" w:type="dxa"/>
          </w:tblCellMar>
        </w:tblPrEx>
        <w:trPr>
          <w:tblCellSpacing w:w="15" w:type="dxa"/>
        </w:trPr>
        <w:tc>
          <w:tcPr>
            <w:tcW w:w="3276" w:type="dxa"/>
            <w:vAlign w:val="center"/>
          </w:tcPr>
          <w:p w14:paraId="39E2EBDC">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Moderate (4-7)</w:t>
            </w:r>
          </w:p>
        </w:tc>
        <w:tc>
          <w:tcPr>
            <w:tcW w:w="2660" w:type="dxa"/>
            <w:vAlign w:val="center"/>
          </w:tcPr>
          <w:p w14:paraId="517F36C1">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t>
            </w:r>
          </w:p>
        </w:tc>
        <w:tc>
          <w:tcPr>
            <w:tcW w:w="2447" w:type="dxa"/>
            <w:vAlign w:val="center"/>
          </w:tcPr>
          <w:p w14:paraId="1864702B">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20 (33.3)</w:t>
            </w:r>
          </w:p>
        </w:tc>
        <w:tc>
          <w:tcPr>
            <w:tcW w:w="0" w:type="auto"/>
            <w:gridSpan w:val="2"/>
            <w:vAlign w:val="center"/>
          </w:tcPr>
          <w:p w14:paraId="602FE43B">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t>
            </w:r>
          </w:p>
        </w:tc>
      </w:tr>
      <w:tr w14:paraId="2E02A6C2">
        <w:tblPrEx>
          <w:tblCellMar>
            <w:top w:w="15" w:type="dxa"/>
            <w:left w:w="15" w:type="dxa"/>
            <w:bottom w:w="15" w:type="dxa"/>
            <w:right w:w="15" w:type="dxa"/>
          </w:tblCellMar>
        </w:tblPrEx>
        <w:trPr>
          <w:tblCellSpacing w:w="15" w:type="dxa"/>
        </w:trPr>
        <w:tc>
          <w:tcPr>
            <w:tcW w:w="3276" w:type="dxa"/>
            <w:vAlign w:val="center"/>
          </w:tcPr>
          <w:p w14:paraId="29ECE06B">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Severe (8-12)</w:t>
            </w:r>
          </w:p>
        </w:tc>
        <w:tc>
          <w:tcPr>
            <w:tcW w:w="2660" w:type="dxa"/>
            <w:vAlign w:val="center"/>
          </w:tcPr>
          <w:p w14:paraId="7F6A360B">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t>
            </w:r>
          </w:p>
        </w:tc>
        <w:tc>
          <w:tcPr>
            <w:tcW w:w="2447" w:type="dxa"/>
            <w:vAlign w:val="center"/>
          </w:tcPr>
          <w:p w14:paraId="28A847A6">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26 (43.3)</w:t>
            </w:r>
          </w:p>
        </w:tc>
        <w:tc>
          <w:tcPr>
            <w:tcW w:w="0" w:type="auto"/>
            <w:gridSpan w:val="2"/>
            <w:vAlign w:val="center"/>
          </w:tcPr>
          <w:p w14:paraId="5AD16453">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t>
            </w:r>
          </w:p>
        </w:tc>
      </w:tr>
      <w:tr w14:paraId="592F5535">
        <w:tblPrEx>
          <w:tblCellMar>
            <w:top w:w="15" w:type="dxa"/>
            <w:left w:w="15" w:type="dxa"/>
            <w:bottom w:w="15" w:type="dxa"/>
            <w:right w:w="15" w:type="dxa"/>
          </w:tblCellMar>
        </w:tblPrEx>
        <w:trPr>
          <w:tblCellSpacing w:w="15" w:type="dxa"/>
        </w:trPr>
        <w:tc>
          <w:tcPr>
            <w:tcW w:w="3276" w:type="dxa"/>
            <w:vAlign w:val="center"/>
          </w:tcPr>
          <w:p w14:paraId="36C43BD1">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Chest X-ray findings, n (%)</w:t>
            </w:r>
          </w:p>
        </w:tc>
        <w:tc>
          <w:tcPr>
            <w:tcW w:w="2660" w:type="dxa"/>
            <w:vAlign w:val="center"/>
          </w:tcPr>
          <w:p w14:paraId="21378483">
            <w:pPr>
              <w:spacing w:after="0" w:line="240" w:lineRule="auto"/>
              <w:jc w:val="center"/>
              <w:rPr>
                <w:rFonts w:ascii="Times New Roman" w:hAnsi="Times New Roman" w:eastAsia="Times New Roman" w:cs="Times New Roman"/>
                <w:sz w:val="24"/>
                <w:szCs w:val="24"/>
                <w:lang w:val="en-US"/>
              </w:rPr>
            </w:pPr>
          </w:p>
        </w:tc>
        <w:tc>
          <w:tcPr>
            <w:tcW w:w="2447" w:type="dxa"/>
            <w:vAlign w:val="center"/>
          </w:tcPr>
          <w:p w14:paraId="69E36948">
            <w:pPr>
              <w:spacing w:after="0" w:line="240" w:lineRule="auto"/>
              <w:jc w:val="center"/>
              <w:rPr>
                <w:rFonts w:ascii="Times New Roman" w:hAnsi="Times New Roman" w:eastAsia="Times New Roman" w:cs="Times New Roman"/>
                <w:sz w:val="20"/>
                <w:szCs w:val="20"/>
                <w:lang w:val="en-US"/>
              </w:rPr>
            </w:pPr>
          </w:p>
        </w:tc>
        <w:tc>
          <w:tcPr>
            <w:tcW w:w="0" w:type="auto"/>
            <w:gridSpan w:val="2"/>
            <w:vAlign w:val="center"/>
          </w:tcPr>
          <w:p w14:paraId="544AEB3D">
            <w:pPr>
              <w:spacing w:after="0" w:line="240" w:lineRule="auto"/>
              <w:jc w:val="center"/>
              <w:rPr>
                <w:rFonts w:ascii="Times New Roman" w:hAnsi="Times New Roman" w:eastAsia="Times New Roman" w:cs="Times New Roman"/>
                <w:sz w:val="20"/>
                <w:szCs w:val="20"/>
                <w:lang w:val="en-US"/>
              </w:rPr>
            </w:pPr>
          </w:p>
        </w:tc>
      </w:tr>
      <w:tr w14:paraId="02F5DFBD">
        <w:tblPrEx>
          <w:tblCellMar>
            <w:top w:w="15" w:type="dxa"/>
            <w:left w:w="15" w:type="dxa"/>
            <w:bottom w:w="15" w:type="dxa"/>
            <w:right w:w="15" w:type="dxa"/>
          </w:tblCellMar>
        </w:tblPrEx>
        <w:trPr>
          <w:tblCellSpacing w:w="15" w:type="dxa"/>
        </w:trPr>
        <w:tc>
          <w:tcPr>
            <w:tcW w:w="3276" w:type="dxa"/>
            <w:vAlign w:val="center"/>
          </w:tcPr>
          <w:p w14:paraId="07E4A820">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Bronchopneumonia</w:t>
            </w:r>
          </w:p>
        </w:tc>
        <w:tc>
          <w:tcPr>
            <w:tcW w:w="2660" w:type="dxa"/>
            <w:vAlign w:val="center"/>
          </w:tcPr>
          <w:p w14:paraId="6A128D3E">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t>
            </w:r>
          </w:p>
        </w:tc>
        <w:tc>
          <w:tcPr>
            <w:tcW w:w="2447" w:type="dxa"/>
            <w:vAlign w:val="center"/>
          </w:tcPr>
          <w:p w14:paraId="64C17783">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40 (67.7)</w:t>
            </w:r>
          </w:p>
        </w:tc>
        <w:tc>
          <w:tcPr>
            <w:tcW w:w="0" w:type="auto"/>
            <w:gridSpan w:val="2"/>
            <w:vAlign w:val="center"/>
          </w:tcPr>
          <w:p w14:paraId="6D12BD52">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t>
            </w:r>
          </w:p>
        </w:tc>
      </w:tr>
      <w:tr w14:paraId="7D2DF25E">
        <w:tblPrEx>
          <w:tblCellMar>
            <w:top w:w="15" w:type="dxa"/>
            <w:left w:w="15" w:type="dxa"/>
            <w:bottom w:w="15" w:type="dxa"/>
            <w:right w:w="15" w:type="dxa"/>
          </w:tblCellMar>
        </w:tblPrEx>
        <w:trPr>
          <w:tblCellSpacing w:w="15" w:type="dxa"/>
        </w:trPr>
        <w:tc>
          <w:tcPr>
            <w:tcW w:w="3276" w:type="dxa"/>
            <w:vAlign w:val="center"/>
          </w:tcPr>
          <w:p w14:paraId="2D950D55">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Lobar pneumonia</w:t>
            </w:r>
          </w:p>
        </w:tc>
        <w:tc>
          <w:tcPr>
            <w:tcW w:w="2660" w:type="dxa"/>
            <w:vAlign w:val="center"/>
          </w:tcPr>
          <w:p w14:paraId="4A2D4E25">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t>
            </w:r>
          </w:p>
        </w:tc>
        <w:tc>
          <w:tcPr>
            <w:tcW w:w="2447" w:type="dxa"/>
            <w:vAlign w:val="center"/>
          </w:tcPr>
          <w:p w14:paraId="471BD13C">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20 (33.3)</w:t>
            </w:r>
          </w:p>
        </w:tc>
        <w:tc>
          <w:tcPr>
            <w:tcW w:w="0" w:type="auto"/>
            <w:gridSpan w:val="2"/>
            <w:vAlign w:val="center"/>
          </w:tcPr>
          <w:p w14:paraId="1136C4F0">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t>
            </w:r>
          </w:p>
        </w:tc>
      </w:tr>
      <w:tr w14:paraId="563EFD0F">
        <w:tblPrEx>
          <w:tblCellMar>
            <w:top w:w="15" w:type="dxa"/>
            <w:left w:w="15" w:type="dxa"/>
            <w:bottom w:w="15" w:type="dxa"/>
            <w:right w:w="15" w:type="dxa"/>
          </w:tblCellMar>
        </w:tblPrEx>
        <w:trPr>
          <w:tblCellSpacing w:w="15" w:type="dxa"/>
        </w:trPr>
        <w:tc>
          <w:tcPr>
            <w:tcW w:w="3276" w:type="dxa"/>
            <w:vAlign w:val="center"/>
          </w:tcPr>
          <w:p w14:paraId="66B7EF6A">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Outcomes, n (%)</w:t>
            </w:r>
          </w:p>
        </w:tc>
        <w:tc>
          <w:tcPr>
            <w:tcW w:w="2660" w:type="dxa"/>
            <w:vAlign w:val="center"/>
          </w:tcPr>
          <w:p w14:paraId="3968ABAC">
            <w:pPr>
              <w:spacing w:after="0" w:line="240" w:lineRule="auto"/>
              <w:jc w:val="center"/>
              <w:rPr>
                <w:rFonts w:ascii="Times New Roman" w:hAnsi="Times New Roman" w:eastAsia="Times New Roman" w:cs="Times New Roman"/>
                <w:sz w:val="24"/>
                <w:szCs w:val="24"/>
                <w:lang w:val="en-US"/>
              </w:rPr>
            </w:pPr>
          </w:p>
        </w:tc>
        <w:tc>
          <w:tcPr>
            <w:tcW w:w="2447" w:type="dxa"/>
            <w:vAlign w:val="center"/>
          </w:tcPr>
          <w:p w14:paraId="7F8EAA1D">
            <w:pPr>
              <w:spacing w:after="0" w:line="240" w:lineRule="auto"/>
              <w:jc w:val="center"/>
              <w:rPr>
                <w:rFonts w:ascii="Times New Roman" w:hAnsi="Times New Roman" w:eastAsia="Times New Roman" w:cs="Times New Roman"/>
                <w:sz w:val="20"/>
                <w:szCs w:val="20"/>
                <w:lang w:val="en-US"/>
              </w:rPr>
            </w:pPr>
          </w:p>
        </w:tc>
        <w:tc>
          <w:tcPr>
            <w:tcW w:w="0" w:type="auto"/>
            <w:gridSpan w:val="2"/>
            <w:vAlign w:val="center"/>
          </w:tcPr>
          <w:p w14:paraId="1F21296D">
            <w:pPr>
              <w:spacing w:after="0" w:line="240" w:lineRule="auto"/>
              <w:jc w:val="center"/>
              <w:rPr>
                <w:rFonts w:ascii="Times New Roman" w:hAnsi="Times New Roman" w:eastAsia="Times New Roman" w:cs="Times New Roman"/>
                <w:sz w:val="20"/>
                <w:szCs w:val="20"/>
                <w:lang w:val="en-US"/>
              </w:rPr>
            </w:pPr>
          </w:p>
        </w:tc>
      </w:tr>
      <w:tr w14:paraId="204295E3">
        <w:tblPrEx>
          <w:tblCellMar>
            <w:top w:w="15" w:type="dxa"/>
            <w:left w:w="15" w:type="dxa"/>
            <w:bottom w:w="15" w:type="dxa"/>
            <w:right w:w="15" w:type="dxa"/>
          </w:tblCellMar>
        </w:tblPrEx>
        <w:trPr>
          <w:tblCellSpacing w:w="15" w:type="dxa"/>
        </w:trPr>
        <w:tc>
          <w:tcPr>
            <w:tcW w:w="3276" w:type="dxa"/>
            <w:vAlign w:val="center"/>
          </w:tcPr>
          <w:p w14:paraId="497F06B5">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ICU admission</w:t>
            </w:r>
          </w:p>
        </w:tc>
        <w:tc>
          <w:tcPr>
            <w:tcW w:w="2660" w:type="dxa"/>
            <w:vAlign w:val="center"/>
          </w:tcPr>
          <w:p w14:paraId="29313AED">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t>
            </w:r>
          </w:p>
        </w:tc>
        <w:tc>
          <w:tcPr>
            <w:tcW w:w="2447" w:type="dxa"/>
            <w:vAlign w:val="center"/>
          </w:tcPr>
          <w:p w14:paraId="60AE6286">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28 (46.7)</w:t>
            </w:r>
          </w:p>
        </w:tc>
        <w:tc>
          <w:tcPr>
            <w:tcW w:w="0" w:type="auto"/>
            <w:gridSpan w:val="2"/>
            <w:vAlign w:val="center"/>
          </w:tcPr>
          <w:p w14:paraId="1D069303">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t>
            </w:r>
          </w:p>
        </w:tc>
      </w:tr>
      <w:tr w14:paraId="08D482DD">
        <w:tblPrEx>
          <w:tblCellMar>
            <w:top w:w="15" w:type="dxa"/>
            <w:left w:w="15" w:type="dxa"/>
            <w:bottom w:w="15" w:type="dxa"/>
            <w:right w:w="15" w:type="dxa"/>
          </w:tblCellMar>
        </w:tblPrEx>
        <w:trPr>
          <w:tblCellSpacing w:w="15" w:type="dxa"/>
        </w:trPr>
        <w:tc>
          <w:tcPr>
            <w:tcW w:w="3276" w:type="dxa"/>
            <w:vAlign w:val="center"/>
          </w:tcPr>
          <w:p w14:paraId="357CD6FE">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Mechanical ventilation</w:t>
            </w:r>
          </w:p>
        </w:tc>
        <w:tc>
          <w:tcPr>
            <w:tcW w:w="2660" w:type="dxa"/>
            <w:vAlign w:val="center"/>
          </w:tcPr>
          <w:p w14:paraId="1150AA97">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t>
            </w:r>
          </w:p>
        </w:tc>
        <w:tc>
          <w:tcPr>
            <w:tcW w:w="2447" w:type="dxa"/>
            <w:vAlign w:val="center"/>
          </w:tcPr>
          <w:p w14:paraId="5EAD0DF0">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25 (41.6)</w:t>
            </w:r>
          </w:p>
        </w:tc>
        <w:tc>
          <w:tcPr>
            <w:tcW w:w="0" w:type="auto"/>
            <w:gridSpan w:val="2"/>
            <w:vAlign w:val="center"/>
          </w:tcPr>
          <w:p w14:paraId="2FFC9B09">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t>
            </w:r>
          </w:p>
        </w:tc>
      </w:tr>
      <w:tr w14:paraId="78AB95FD">
        <w:tblPrEx>
          <w:tblCellMar>
            <w:top w:w="15" w:type="dxa"/>
            <w:left w:w="15" w:type="dxa"/>
            <w:bottom w:w="15" w:type="dxa"/>
            <w:right w:w="15" w:type="dxa"/>
          </w:tblCellMar>
        </w:tblPrEx>
        <w:trPr>
          <w:tblCellSpacing w:w="15" w:type="dxa"/>
        </w:trPr>
        <w:tc>
          <w:tcPr>
            <w:tcW w:w="3276" w:type="dxa"/>
            <w:vAlign w:val="center"/>
          </w:tcPr>
          <w:p w14:paraId="5BACFC8D">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Mortality</w:t>
            </w:r>
          </w:p>
        </w:tc>
        <w:tc>
          <w:tcPr>
            <w:tcW w:w="2660" w:type="dxa"/>
            <w:vAlign w:val="center"/>
          </w:tcPr>
          <w:p w14:paraId="166183C5">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t>
            </w:r>
          </w:p>
        </w:tc>
        <w:tc>
          <w:tcPr>
            <w:tcW w:w="2447" w:type="dxa"/>
            <w:vAlign w:val="center"/>
          </w:tcPr>
          <w:p w14:paraId="3608C82D">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 (6.7)</w:t>
            </w:r>
          </w:p>
        </w:tc>
        <w:tc>
          <w:tcPr>
            <w:tcW w:w="0" w:type="auto"/>
            <w:gridSpan w:val="2"/>
            <w:vAlign w:val="center"/>
          </w:tcPr>
          <w:p w14:paraId="09F43540">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t>
            </w:r>
          </w:p>
        </w:tc>
      </w:tr>
      <w:tr w14:paraId="033B0697">
        <w:tblPrEx>
          <w:tblCellMar>
            <w:top w:w="15" w:type="dxa"/>
            <w:left w:w="15" w:type="dxa"/>
            <w:bottom w:w="15" w:type="dxa"/>
            <w:right w:w="15" w:type="dxa"/>
          </w:tblCellMar>
        </w:tblPrEx>
        <w:trPr>
          <w:tblCellSpacing w:w="15" w:type="dxa"/>
        </w:trPr>
        <w:tc>
          <w:tcPr>
            <w:tcW w:w="3276" w:type="dxa"/>
            <w:vAlign w:val="center"/>
          </w:tcPr>
          <w:p w14:paraId="69A5FE86">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Hematological parameters</w:t>
            </w:r>
          </w:p>
        </w:tc>
        <w:tc>
          <w:tcPr>
            <w:tcW w:w="2660" w:type="dxa"/>
            <w:vAlign w:val="center"/>
          </w:tcPr>
          <w:p w14:paraId="20223F03">
            <w:pPr>
              <w:spacing w:after="0" w:line="240" w:lineRule="auto"/>
              <w:jc w:val="center"/>
              <w:rPr>
                <w:rFonts w:ascii="Times New Roman" w:hAnsi="Times New Roman" w:eastAsia="Times New Roman" w:cs="Times New Roman"/>
                <w:sz w:val="24"/>
                <w:szCs w:val="24"/>
                <w:lang w:val="en-US"/>
              </w:rPr>
            </w:pPr>
          </w:p>
        </w:tc>
        <w:tc>
          <w:tcPr>
            <w:tcW w:w="2477" w:type="dxa"/>
            <w:gridSpan w:val="2"/>
            <w:vAlign w:val="center"/>
          </w:tcPr>
          <w:p w14:paraId="5CD811E2">
            <w:pPr>
              <w:spacing w:after="0" w:line="240" w:lineRule="auto"/>
              <w:jc w:val="center"/>
              <w:rPr>
                <w:rFonts w:ascii="Times New Roman" w:hAnsi="Times New Roman" w:eastAsia="Times New Roman" w:cs="Times New Roman"/>
                <w:sz w:val="20"/>
                <w:szCs w:val="20"/>
                <w:lang w:val="en-US"/>
              </w:rPr>
            </w:pPr>
          </w:p>
        </w:tc>
        <w:tc>
          <w:tcPr>
            <w:tcW w:w="827" w:type="dxa"/>
            <w:vAlign w:val="center"/>
          </w:tcPr>
          <w:p w14:paraId="6832E2FE">
            <w:pPr>
              <w:spacing w:after="0" w:line="240" w:lineRule="auto"/>
              <w:jc w:val="center"/>
              <w:rPr>
                <w:rFonts w:ascii="Times New Roman" w:hAnsi="Times New Roman" w:eastAsia="Times New Roman" w:cs="Times New Roman"/>
                <w:sz w:val="20"/>
                <w:szCs w:val="20"/>
                <w:lang w:val="en-US"/>
              </w:rPr>
            </w:pPr>
          </w:p>
        </w:tc>
      </w:tr>
      <w:tr w14:paraId="608FCB02">
        <w:tblPrEx>
          <w:tblCellMar>
            <w:top w:w="15" w:type="dxa"/>
            <w:left w:w="15" w:type="dxa"/>
            <w:bottom w:w="15" w:type="dxa"/>
            <w:right w:w="15" w:type="dxa"/>
          </w:tblCellMar>
        </w:tblPrEx>
        <w:trPr>
          <w:tblCellSpacing w:w="15" w:type="dxa"/>
        </w:trPr>
        <w:tc>
          <w:tcPr>
            <w:tcW w:w="3276" w:type="dxa"/>
            <w:vAlign w:val="center"/>
          </w:tcPr>
          <w:p w14:paraId="0A7879F1">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WBCs (/L)</w:t>
            </w:r>
          </w:p>
        </w:tc>
        <w:tc>
          <w:tcPr>
            <w:tcW w:w="2660" w:type="dxa"/>
            <w:vAlign w:val="center"/>
          </w:tcPr>
          <w:p w14:paraId="4AEAD70A">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9993.58 ± 3287.02</w:t>
            </w:r>
          </w:p>
        </w:tc>
        <w:tc>
          <w:tcPr>
            <w:tcW w:w="2477" w:type="dxa"/>
            <w:gridSpan w:val="2"/>
            <w:vAlign w:val="center"/>
          </w:tcPr>
          <w:p w14:paraId="2E4865DA">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14233.08 ± 4698.30</w:t>
            </w:r>
          </w:p>
        </w:tc>
        <w:tc>
          <w:tcPr>
            <w:tcW w:w="827" w:type="dxa"/>
            <w:vAlign w:val="center"/>
          </w:tcPr>
          <w:p w14:paraId="2A7834D6">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&lt;0.001*</w:t>
            </w:r>
          </w:p>
        </w:tc>
      </w:tr>
      <w:tr w14:paraId="0AD89CA8">
        <w:tblPrEx>
          <w:tblCellMar>
            <w:top w:w="15" w:type="dxa"/>
            <w:left w:w="15" w:type="dxa"/>
            <w:bottom w:w="15" w:type="dxa"/>
            <w:right w:w="15" w:type="dxa"/>
          </w:tblCellMar>
        </w:tblPrEx>
        <w:trPr>
          <w:tblCellSpacing w:w="15" w:type="dxa"/>
        </w:trPr>
        <w:tc>
          <w:tcPr>
            <w:tcW w:w="3276" w:type="dxa"/>
            <w:vAlign w:val="center"/>
          </w:tcPr>
          <w:p w14:paraId="076C00B2">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Neutrophils (%)</w:t>
            </w:r>
          </w:p>
        </w:tc>
        <w:tc>
          <w:tcPr>
            <w:tcW w:w="2660" w:type="dxa"/>
            <w:vAlign w:val="center"/>
          </w:tcPr>
          <w:p w14:paraId="55634E88">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54.36 ± 15.89</w:t>
            </w:r>
          </w:p>
        </w:tc>
        <w:tc>
          <w:tcPr>
            <w:tcW w:w="2477" w:type="dxa"/>
            <w:gridSpan w:val="2"/>
            <w:vAlign w:val="center"/>
          </w:tcPr>
          <w:p w14:paraId="5DC89524">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57.57 ± 6.92</w:t>
            </w:r>
          </w:p>
        </w:tc>
        <w:tc>
          <w:tcPr>
            <w:tcW w:w="827" w:type="dxa"/>
            <w:vAlign w:val="center"/>
          </w:tcPr>
          <w:p w14:paraId="730E68D5">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0.153</w:t>
            </w:r>
          </w:p>
        </w:tc>
      </w:tr>
      <w:tr w14:paraId="6C895FD0">
        <w:tblPrEx>
          <w:tblCellMar>
            <w:top w:w="15" w:type="dxa"/>
            <w:left w:w="15" w:type="dxa"/>
            <w:bottom w:w="15" w:type="dxa"/>
            <w:right w:w="15" w:type="dxa"/>
          </w:tblCellMar>
        </w:tblPrEx>
        <w:trPr>
          <w:tblCellSpacing w:w="15" w:type="dxa"/>
        </w:trPr>
        <w:tc>
          <w:tcPr>
            <w:tcW w:w="3276" w:type="dxa"/>
            <w:vAlign w:val="center"/>
          </w:tcPr>
          <w:p w14:paraId="32FE9473">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Lymphocytes (%)</w:t>
            </w:r>
          </w:p>
        </w:tc>
        <w:tc>
          <w:tcPr>
            <w:tcW w:w="2660" w:type="dxa"/>
            <w:vAlign w:val="center"/>
          </w:tcPr>
          <w:p w14:paraId="6B91DB30">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34.20 ± 12.35</w:t>
            </w:r>
          </w:p>
        </w:tc>
        <w:tc>
          <w:tcPr>
            <w:tcW w:w="2477" w:type="dxa"/>
            <w:gridSpan w:val="2"/>
            <w:vAlign w:val="center"/>
          </w:tcPr>
          <w:p w14:paraId="5592B15A">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31.96 ± 8.12</w:t>
            </w:r>
          </w:p>
        </w:tc>
        <w:tc>
          <w:tcPr>
            <w:tcW w:w="827" w:type="dxa"/>
            <w:vAlign w:val="center"/>
          </w:tcPr>
          <w:p w14:paraId="77AABFB4">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0.244</w:t>
            </w:r>
          </w:p>
        </w:tc>
      </w:tr>
      <w:tr w14:paraId="67D7F388">
        <w:tblPrEx>
          <w:tblCellMar>
            <w:top w:w="15" w:type="dxa"/>
            <w:left w:w="15" w:type="dxa"/>
            <w:bottom w:w="15" w:type="dxa"/>
            <w:right w:w="15" w:type="dxa"/>
          </w:tblCellMar>
        </w:tblPrEx>
        <w:trPr>
          <w:tblCellSpacing w:w="15" w:type="dxa"/>
        </w:trPr>
        <w:tc>
          <w:tcPr>
            <w:tcW w:w="3276" w:type="dxa"/>
            <w:vAlign w:val="center"/>
          </w:tcPr>
          <w:p w14:paraId="6D2D9F7A">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Monocytes (%)</w:t>
            </w:r>
          </w:p>
        </w:tc>
        <w:tc>
          <w:tcPr>
            <w:tcW w:w="2660" w:type="dxa"/>
            <w:vAlign w:val="center"/>
          </w:tcPr>
          <w:p w14:paraId="0A4C0156">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6.36 ± 1.91</w:t>
            </w:r>
          </w:p>
        </w:tc>
        <w:tc>
          <w:tcPr>
            <w:tcW w:w="2477" w:type="dxa"/>
            <w:gridSpan w:val="2"/>
            <w:vAlign w:val="center"/>
          </w:tcPr>
          <w:p w14:paraId="20DBF704">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5.70 ± 0.74</w:t>
            </w:r>
          </w:p>
        </w:tc>
        <w:tc>
          <w:tcPr>
            <w:tcW w:w="827" w:type="dxa"/>
            <w:vAlign w:val="center"/>
          </w:tcPr>
          <w:p w14:paraId="31A025D4">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0.014</w:t>
            </w:r>
          </w:p>
        </w:tc>
      </w:tr>
      <w:tr w14:paraId="26E2AC1E">
        <w:tblPrEx>
          <w:tblCellMar>
            <w:top w:w="15" w:type="dxa"/>
            <w:left w:w="15" w:type="dxa"/>
            <w:bottom w:w="15" w:type="dxa"/>
            <w:right w:w="15" w:type="dxa"/>
          </w:tblCellMar>
        </w:tblPrEx>
        <w:trPr>
          <w:tblCellSpacing w:w="15" w:type="dxa"/>
        </w:trPr>
        <w:tc>
          <w:tcPr>
            <w:tcW w:w="3276" w:type="dxa"/>
            <w:vAlign w:val="center"/>
          </w:tcPr>
          <w:p w14:paraId="62A6871D">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Hemoglobin (g/L)</w:t>
            </w:r>
          </w:p>
        </w:tc>
        <w:tc>
          <w:tcPr>
            <w:tcW w:w="2660" w:type="dxa"/>
            <w:vAlign w:val="center"/>
          </w:tcPr>
          <w:p w14:paraId="299A5427">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9.48 ± 0.88</w:t>
            </w:r>
          </w:p>
        </w:tc>
        <w:tc>
          <w:tcPr>
            <w:tcW w:w="2477" w:type="dxa"/>
            <w:gridSpan w:val="2"/>
            <w:vAlign w:val="center"/>
          </w:tcPr>
          <w:p w14:paraId="209B363C">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9.71 ± 1.57</w:t>
            </w:r>
          </w:p>
        </w:tc>
        <w:tc>
          <w:tcPr>
            <w:tcW w:w="827" w:type="dxa"/>
            <w:vAlign w:val="center"/>
          </w:tcPr>
          <w:p w14:paraId="7D7C5C02">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0.327</w:t>
            </w:r>
          </w:p>
        </w:tc>
      </w:tr>
      <w:tr w14:paraId="20854057">
        <w:tblPrEx>
          <w:tblCellMar>
            <w:top w:w="15" w:type="dxa"/>
            <w:left w:w="15" w:type="dxa"/>
            <w:bottom w:w="15" w:type="dxa"/>
            <w:right w:w="15" w:type="dxa"/>
          </w:tblCellMar>
        </w:tblPrEx>
        <w:trPr>
          <w:tblCellSpacing w:w="15" w:type="dxa"/>
        </w:trPr>
        <w:tc>
          <w:tcPr>
            <w:tcW w:w="3276" w:type="dxa"/>
            <w:vAlign w:val="center"/>
          </w:tcPr>
          <w:p w14:paraId="60F1CA3F">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Platelets (/L)</w:t>
            </w:r>
          </w:p>
        </w:tc>
        <w:tc>
          <w:tcPr>
            <w:tcW w:w="2660" w:type="dxa"/>
            <w:vAlign w:val="center"/>
          </w:tcPr>
          <w:p w14:paraId="36E8BA70">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468050.00 ± 221943.75</w:t>
            </w:r>
          </w:p>
        </w:tc>
        <w:tc>
          <w:tcPr>
            <w:tcW w:w="2477" w:type="dxa"/>
            <w:gridSpan w:val="2"/>
            <w:vAlign w:val="center"/>
          </w:tcPr>
          <w:p w14:paraId="19453594">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317666.66 ± 104715.05</w:t>
            </w:r>
          </w:p>
        </w:tc>
        <w:tc>
          <w:tcPr>
            <w:tcW w:w="827" w:type="dxa"/>
            <w:vAlign w:val="center"/>
          </w:tcPr>
          <w:p w14:paraId="0F252EE8">
            <w:pPr>
              <w:spacing w:after="0" w:line="240" w:lineRule="auto"/>
              <w:jc w:val="center"/>
              <w:rPr>
                <w:rFonts w:ascii="Times New Roman" w:hAnsi="Times New Roman" w:eastAsia="Times New Roman" w:cs="Times New Roman"/>
                <w:b/>
                <w:bCs/>
                <w:color w:val="FF0000"/>
                <w:sz w:val="24"/>
                <w:szCs w:val="24"/>
                <w:lang w:val="en-US"/>
              </w:rPr>
            </w:pPr>
            <w:r>
              <w:rPr>
                <w:rFonts w:ascii="Times New Roman" w:hAnsi="Times New Roman" w:eastAsia="Times New Roman" w:cs="Times New Roman"/>
                <w:b/>
                <w:bCs/>
                <w:color w:val="FF0000"/>
                <w:sz w:val="24"/>
                <w:szCs w:val="24"/>
                <w:lang w:val="en-US"/>
              </w:rPr>
              <w:t>&lt;0.001*</w:t>
            </w:r>
          </w:p>
        </w:tc>
      </w:tr>
      <w:tr w14:paraId="452E9A67">
        <w:tblPrEx>
          <w:tblCellMar>
            <w:top w:w="15" w:type="dxa"/>
            <w:left w:w="15" w:type="dxa"/>
            <w:bottom w:w="15" w:type="dxa"/>
            <w:right w:w="15" w:type="dxa"/>
          </w:tblCellMar>
        </w:tblPrEx>
        <w:trPr>
          <w:tblCellSpacing w:w="15" w:type="dxa"/>
        </w:trPr>
        <w:tc>
          <w:tcPr>
            <w:tcW w:w="3276" w:type="dxa"/>
            <w:vAlign w:val="center"/>
          </w:tcPr>
          <w:p w14:paraId="33021D14">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Biochemical parameters</w:t>
            </w:r>
          </w:p>
        </w:tc>
        <w:tc>
          <w:tcPr>
            <w:tcW w:w="2660" w:type="dxa"/>
            <w:vAlign w:val="center"/>
          </w:tcPr>
          <w:p w14:paraId="73224913">
            <w:pPr>
              <w:spacing w:after="0" w:line="240" w:lineRule="auto"/>
              <w:jc w:val="center"/>
              <w:rPr>
                <w:rFonts w:ascii="Times New Roman" w:hAnsi="Times New Roman" w:eastAsia="Times New Roman" w:cs="Times New Roman"/>
                <w:sz w:val="24"/>
                <w:szCs w:val="24"/>
                <w:lang w:val="en-US"/>
              </w:rPr>
            </w:pPr>
          </w:p>
        </w:tc>
        <w:tc>
          <w:tcPr>
            <w:tcW w:w="2477" w:type="dxa"/>
            <w:gridSpan w:val="2"/>
            <w:vAlign w:val="center"/>
          </w:tcPr>
          <w:p w14:paraId="055A62AE">
            <w:pPr>
              <w:spacing w:after="0" w:line="240" w:lineRule="auto"/>
              <w:jc w:val="center"/>
              <w:rPr>
                <w:rFonts w:ascii="Times New Roman" w:hAnsi="Times New Roman" w:eastAsia="Times New Roman" w:cs="Times New Roman"/>
                <w:sz w:val="20"/>
                <w:szCs w:val="20"/>
                <w:lang w:val="en-US"/>
              </w:rPr>
            </w:pPr>
          </w:p>
        </w:tc>
        <w:tc>
          <w:tcPr>
            <w:tcW w:w="827" w:type="dxa"/>
            <w:vAlign w:val="center"/>
          </w:tcPr>
          <w:p w14:paraId="77885B97">
            <w:pPr>
              <w:spacing w:after="0" w:line="240" w:lineRule="auto"/>
              <w:jc w:val="center"/>
              <w:rPr>
                <w:rFonts w:ascii="Times New Roman" w:hAnsi="Times New Roman" w:eastAsia="Times New Roman" w:cs="Times New Roman"/>
                <w:b/>
                <w:bCs/>
                <w:color w:val="FF0000"/>
                <w:sz w:val="20"/>
                <w:szCs w:val="20"/>
                <w:lang w:val="en-US"/>
              </w:rPr>
            </w:pPr>
          </w:p>
        </w:tc>
      </w:tr>
      <w:tr w14:paraId="7DE21DAA">
        <w:tblPrEx>
          <w:tblCellMar>
            <w:top w:w="15" w:type="dxa"/>
            <w:left w:w="15" w:type="dxa"/>
            <w:bottom w:w="15" w:type="dxa"/>
            <w:right w:w="15" w:type="dxa"/>
          </w:tblCellMar>
        </w:tblPrEx>
        <w:trPr>
          <w:tblCellSpacing w:w="15" w:type="dxa"/>
        </w:trPr>
        <w:tc>
          <w:tcPr>
            <w:tcW w:w="3276" w:type="dxa"/>
            <w:vAlign w:val="center"/>
          </w:tcPr>
          <w:p w14:paraId="27E646A6">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C-reactive protein (mg/L)</w:t>
            </w:r>
          </w:p>
        </w:tc>
        <w:tc>
          <w:tcPr>
            <w:tcW w:w="2660" w:type="dxa"/>
            <w:vAlign w:val="center"/>
          </w:tcPr>
          <w:p w14:paraId="483110FE">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3.60 ± 8.58</w:t>
            </w:r>
          </w:p>
        </w:tc>
        <w:tc>
          <w:tcPr>
            <w:tcW w:w="2477" w:type="dxa"/>
            <w:gridSpan w:val="2"/>
            <w:vAlign w:val="center"/>
          </w:tcPr>
          <w:p w14:paraId="1D65AD14">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45.06 ± 44.31</w:t>
            </w:r>
          </w:p>
        </w:tc>
        <w:tc>
          <w:tcPr>
            <w:tcW w:w="827" w:type="dxa"/>
            <w:vAlign w:val="center"/>
          </w:tcPr>
          <w:p w14:paraId="60AD92B5">
            <w:pPr>
              <w:spacing w:after="0" w:line="240" w:lineRule="auto"/>
              <w:jc w:val="center"/>
              <w:rPr>
                <w:rFonts w:ascii="Times New Roman" w:hAnsi="Times New Roman" w:eastAsia="Times New Roman" w:cs="Times New Roman"/>
                <w:b/>
                <w:bCs/>
                <w:color w:val="FF0000"/>
                <w:sz w:val="24"/>
                <w:szCs w:val="24"/>
                <w:lang w:val="en-US"/>
              </w:rPr>
            </w:pPr>
            <w:r>
              <w:rPr>
                <w:rFonts w:ascii="Times New Roman" w:hAnsi="Times New Roman" w:eastAsia="Times New Roman" w:cs="Times New Roman"/>
                <w:b/>
                <w:bCs/>
                <w:color w:val="FF0000"/>
                <w:sz w:val="24"/>
                <w:szCs w:val="24"/>
                <w:lang w:val="en-US"/>
              </w:rPr>
              <w:t>&lt;0.001*</w:t>
            </w:r>
          </w:p>
        </w:tc>
      </w:tr>
      <w:tr w14:paraId="5D287CA5">
        <w:tblPrEx>
          <w:tblCellMar>
            <w:top w:w="15" w:type="dxa"/>
            <w:left w:w="15" w:type="dxa"/>
            <w:bottom w:w="15" w:type="dxa"/>
            <w:right w:w="15" w:type="dxa"/>
          </w:tblCellMar>
        </w:tblPrEx>
        <w:trPr>
          <w:tblCellSpacing w:w="15" w:type="dxa"/>
        </w:trPr>
        <w:tc>
          <w:tcPr>
            <w:tcW w:w="3276" w:type="dxa"/>
            <w:vAlign w:val="center"/>
          </w:tcPr>
          <w:p w14:paraId="669902E2">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Total proteins (g/dL)</w:t>
            </w:r>
          </w:p>
        </w:tc>
        <w:tc>
          <w:tcPr>
            <w:tcW w:w="2660" w:type="dxa"/>
            <w:vAlign w:val="center"/>
          </w:tcPr>
          <w:p w14:paraId="17108952">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6.81 ± 1.16</w:t>
            </w:r>
          </w:p>
        </w:tc>
        <w:tc>
          <w:tcPr>
            <w:tcW w:w="2477" w:type="dxa"/>
            <w:gridSpan w:val="2"/>
            <w:vAlign w:val="center"/>
          </w:tcPr>
          <w:p w14:paraId="7070D3DF">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5.70 ± 1.11</w:t>
            </w:r>
          </w:p>
        </w:tc>
        <w:tc>
          <w:tcPr>
            <w:tcW w:w="827" w:type="dxa"/>
            <w:vAlign w:val="center"/>
          </w:tcPr>
          <w:p w14:paraId="337CFDFC">
            <w:pPr>
              <w:spacing w:after="0" w:line="240" w:lineRule="auto"/>
              <w:jc w:val="center"/>
              <w:rPr>
                <w:rFonts w:ascii="Times New Roman" w:hAnsi="Times New Roman" w:eastAsia="Times New Roman" w:cs="Times New Roman"/>
                <w:b/>
                <w:bCs/>
                <w:color w:val="FF0000"/>
                <w:sz w:val="24"/>
                <w:szCs w:val="24"/>
                <w:lang w:val="en-US"/>
              </w:rPr>
            </w:pPr>
            <w:r>
              <w:rPr>
                <w:rFonts w:ascii="Times New Roman" w:hAnsi="Times New Roman" w:eastAsia="Times New Roman" w:cs="Times New Roman"/>
                <w:b/>
                <w:bCs/>
                <w:color w:val="FF0000"/>
                <w:sz w:val="24"/>
                <w:szCs w:val="24"/>
                <w:lang w:val="en-US"/>
              </w:rPr>
              <w:t>&lt;0.001*</w:t>
            </w:r>
          </w:p>
        </w:tc>
      </w:tr>
      <w:tr w14:paraId="033382B7">
        <w:tblPrEx>
          <w:tblCellMar>
            <w:top w:w="15" w:type="dxa"/>
            <w:left w:w="15" w:type="dxa"/>
            <w:bottom w:w="15" w:type="dxa"/>
            <w:right w:w="15" w:type="dxa"/>
          </w:tblCellMar>
        </w:tblPrEx>
        <w:trPr>
          <w:tblCellSpacing w:w="15" w:type="dxa"/>
        </w:trPr>
        <w:tc>
          <w:tcPr>
            <w:tcW w:w="3276" w:type="dxa"/>
            <w:vAlign w:val="center"/>
          </w:tcPr>
          <w:p w14:paraId="7542A672">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Albumin (g/dL)</w:t>
            </w:r>
          </w:p>
        </w:tc>
        <w:tc>
          <w:tcPr>
            <w:tcW w:w="2660" w:type="dxa"/>
            <w:vAlign w:val="center"/>
          </w:tcPr>
          <w:p w14:paraId="18F861D2">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3.88 ± 0.33</w:t>
            </w:r>
          </w:p>
        </w:tc>
        <w:tc>
          <w:tcPr>
            <w:tcW w:w="2477" w:type="dxa"/>
            <w:gridSpan w:val="2"/>
            <w:vAlign w:val="center"/>
          </w:tcPr>
          <w:p w14:paraId="0BCD7941">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3.56 ± 0.77</w:t>
            </w:r>
          </w:p>
        </w:tc>
        <w:tc>
          <w:tcPr>
            <w:tcW w:w="827" w:type="dxa"/>
            <w:vAlign w:val="center"/>
          </w:tcPr>
          <w:p w14:paraId="64B15C6C">
            <w:pPr>
              <w:spacing w:after="0" w:line="240" w:lineRule="auto"/>
              <w:jc w:val="center"/>
              <w:rPr>
                <w:rFonts w:ascii="Times New Roman" w:hAnsi="Times New Roman" w:eastAsia="Times New Roman" w:cs="Times New Roman"/>
                <w:b/>
                <w:bCs/>
                <w:color w:val="FF0000"/>
                <w:sz w:val="24"/>
                <w:szCs w:val="24"/>
                <w:lang w:val="en-US"/>
              </w:rPr>
            </w:pPr>
            <w:r>
              <w:rPr>
                <w:rFonts w:ascii="Times New Roman" w:hAnsi="Times New Roman" w:eastAsia="Times New Roman" w:cs="Times New Roman"/>
                <w:b/>
                <w:bCs/>
                <w:color w:val="FF0000"/>
                <w:sz w:val="24"/>
                <w:szCs w:val="24"/>
                <w:lang w:val="en-US"/>
              </w:rPr>
              <w:t>0.004*</w:t>
            </w:r>
          </w:p>
        </w:tc>
      </w:tr>
      <w:tr w14:paraId="3B0AB8DF">
        <w:tblPrEx>
          <w:tblCellMar>
            <w:top w:w="15" w:type="dxa"/>
            <w:left w:w="15" w:type="dxa"/>
            <w:bottom w:w="15" w:type="dxa"/>
            <w:right w:w="15" w:type="dxa"/>
          </w:tblCellMar>
        </w:tblPrEx>
        <w:trPr>
          <w:tblCellSpacing w:w="15" w:type="dxa"/>
        </w:trPr>
        <w:tc>
          <w:tcPr>
            <w:tcW w:w="3276" w:type="dxa"/>
            <w:vAlign w:val="center"/>
          </w:tcPr>
          <w:p w14:paraId="6A2A5409">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Non-classic biomarkers</w:t>
            </w:r>
          </w:p>
        </w:tc>
        <w:tc>
          <w:tcPr>
            <w:tcW w:w="2660" w:type="dxa"/>
            <w:vAlign w:val="center"/>
          </w:tcPr>
          <w:p w14:paraId="74E6C7E4">
            <w:pPr>
              <w:spacing w:after="0" w:line="240" w:lineRule="auto"/>
              <w:jc w:val="center"/>
              <w:rPr>
                <w:rFonts w:ascii="Times New Roman" w:hAnsi="Times New Roman" w:eastAsia="Times New Roman" w:cs="Times New Roman"/>
                <w:sz w:val="24"/>
                <w:szCs w:val="24"/>
                <w:lang w:val="en-US"/>
              </w:rPr>
            </w:pPr>
          </w:p>
        </w:tc>
        <w:tc>
          <w:tcPr>
            <w:tcW w:w="2477" w:type="dxa"/>
            <w:gridSpan w:val="2"/>
            <w:vAlign w:val="center"/>
          </w:tcPr>
          <w:p w14:paraId="548F78E0">
            <w:pPr>
              <w:spacing w:after="0" w:line="240" w:lineRule="auto"/>
              <w:jc w:val="center"/>
              <w:rPr>
                <w:rFonts w:ascii="Times New Roman" w:hAnsi="Times New Roman" w:eastAsia="Times New Roman" w:cs="Times New Roman"/>
                <w:sz w:val="20"/>
                <w:szCs w:val="20"/>
                <w:lang w:val="en-US"/>
              </w:rPr>
            </w:pPr>
          </w:p>
        </w:tc>
        <w:tc>
          <w:tcPr>
            <w:tcW w:w="827" w:type="dxa"/>
            <w:vAlign w:val="center"/>
          </w:tcPr>
          <w:p w14:paraId="1F1D1DBE">
            <w:pPr>
              <w:spacing w:after="0" w:line="240" w:lineRule="auto"/>
              <w:jc w:val="center"/>
              <w:rPr>
                <w:rFonts w:ascii="Times New Roman" w:hAnsi="Times New Roman" w:eastAsia="Times New Roman" w:cs="Times New Roman"/>
                <w:b/>
                <w:bCs/>
                <w:color w:val="FF0000"/>
                <w:sz w:val="20"/>
                <w:szCs w:val="20"/>
                <w:lang w:val="en-US"/>
              </w:rPr>
            </w:pPr>
          </w:p>
        </w:tc>
      </w:tr>
      <w:tr w14:paraId="7A89BF4B">
        <w:tblPrEx>
          <w:tblCellMar>
            <w:top w:w="15" w:type="dxa"/>
            <w:left w:w="15" w:type="dxa"/>
            <w:bottom w:w="15" w:type="dxa"/>
            <w:right w:w="15" w:type="dxa"/>
          </w:tblCellMar>
        </w:tblPrEx>
        <w:trPr>
          <w:tblCellSpacing w:w="15" w:type="dxa"/>
        </w:trPr>
        <w:tc>
          <w:tcPr>
            <w:tcW w:w="3276" w:type="dxa"/>
            <w:vAlign w:val="center"/>
          </w:tcPr>
          <w:p w14:paraId="25631B5B">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Neutrophils CD64-FITC</w:t>
            </w:r>
          </w:p>
        </w:tc>
        <w:tc>
          <w:tcPr>
            <w:tcW w:w="2660" w:type="dxa"/>
            <w:vAlign w:val="center"/>
          </w:tcPr>
          <w:p w14:paraId="661D2B74">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359.84 ± 57.48</w:t>
            </w:r>
          </w:p>
        </w:tc>
        <w:tc>
          <w:tcPr>
            <w:tcW w:w="2477" w:type="dxa"/>
            <w:gridSpan w:val="2"/>
            <w:vAlign w:val="center"/>
          </w:tcPr>
          <w:p w14:paraId="0818E03A">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692.67 ± 326.26</w:t>
            </w:r>
          </w:p>
        </w:tc>
        <w:tc>
          <w:tcPr>
            <w:tcW w:w="827" w:type="dxa"/>
            <w:vAlign w:val="center"/>
          </w:tcPr>
          <w:p w14:paraId="3D5ED7CE">
            <w:pPr>
              <w:spacing w:after="0" w:line="240" w:lineRule="auto"/>
              <w:jc w:val="center"/>
              <w:rPr>
                <w:rFonts w:ascii="Times New Roman" w:hAnsi="Times New Roman" w:eastAsia="Times New Roman" w:cs="Times New Roman"/>
                <w:b/>
                <w:bCs/>
                <w:color w:val="FF0000"/>
                <w:sz w:val="24"/>
                <w:szCs w:val="24"/>
                <w:lang w:val="en-US"/>
              </w:rPr>
            </w:pPr>
            <w:r>
              <w:rPr>
                <w:rFonts w:ascii="Times New Roman" w:hAnsi="Times New Roman" w:eastAsia="Times New Roman" w:cs="Times New Roman"/>
                <w:b/>
                <w:bCs/>
                <w:color w:val="FF0000"/>
                <w:sz w:val="24"/>
                <w:szCs w:val="24"/>
                <w:lang w:val="en-US"/>
              </w:rPr>
              <w:t>&lt;0.001*</w:t>
            </w:r>
          </w:p>
        </w:tc>
      </w:tr>
      <w:tr w14:paraId="6CF541D5">
        <w:tblPrEx>
          <w:tblCellMar>
            <w:top w:w="15" w:type="dxa"/>
            <w:left w:w="15" w:type="dxa"/>
            <w:bottom w:w="15" w:type="dxa"/>
            <w:right w:w="15" w:type="dxa"/>
          </w:tblCellMar>
        </w:tblPrEx>
        <w:trPr>
          <w:tblCellSpacing w:w="15" w:type="dxa"/>
        </w:trPr>
        <w:tc>
          <w:tcPr>
            <w:tcW w:w="3276" w:type="dxa"/>
            <w:vAlign w:val="center"/>
          </w:tcPr>
          <w:p w14:paraId="117C88B3">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Neutrophils CD64-FITC / Monocytes CD64-FITC ratio</w:t>
            </w:r>
          </w:p>
        </w:tc>
        <w:tc>
          <w:tcPr>
            <w:tcW w:w="2660" w:type="dxa"/>
            <w:vAlign w:val="center"/>
          </w:tcPr>
          <w:p w14:paraId="7194F698">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0.34 ± 0.14</w:t>
            </w:r>
          </w:p>
        </w:tc>
        <w:tc>
          <w:tcPr>
            <w:tcW w:w="2477" w:type="dxa"/>
            <w:gridSpan w:val="2"/>
            <w:vAlign w:val="center"/>
          </w:tcPr>
          <w:p w14:paraId="7AC50E91">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1.03 ± 1.24</w:t>
            </w:r>
          </w:p>
        </w:tc>
        <w:tc>
          <w:tcPr>
            <w:tcW w:w="827" w:type="dxa"/>
            <w:vAlign w:val="center"/>
          </w:tcPr>
          <w:p w14:paraId="74CCB97F">
            <w:pPr>
              <w:spacing w:after="0" w:line="240" w:lineRule="auto"/>
              <w:jc w:val="center"/>
              <w:rPr>
                <w:rFonts w:ascii="Times New Roman" w:hAnsi="Times New Roman" w:eastAsia="Times New Roman" w:cs="Times New Roman"/>
                <w:b/>
                <w:bCs/>
                <w:color w:val="FF0000"/>
                <w:sz w:val="24"/>
                <w:szCs w:val="24"/>
                <w:lang w:val="en-US"/>
              </w:rPr>
            </w:pPr>
            <w:r>
              <w:rPr>
                <w:rFonts w:ascii="Times New Roman" w:hAnsi="Times New Roman" w:eastAsia="Times New Roman" w:cs="Times New Roman"/>
                <w:b/>
                <w:bCs/>
                <w:color w:val="FF0000"/>
                <w:sz w:val="24"/>
                <w:szCs w:val="24"/>
                <w:lang w:val="en-US"/>
              </w:rPr>
              <w:t>&lt;0.001*</w:t>
            </w:r>
          </w:p>
        </w:tc>
      </w:tr>
      <w:tr w14:paraId="1F787882">
        <w:tblPrEx>
          <w:tblCellMar>
            <w:top w:w="15" w:type="dxa"/>
            <w:left w:w="15" w:type="dxa"/>
            <w:bottom w:w="15" w:type="dxa"/>
            <w:right w:w="15" w:type="dxa"/>
          </w:tblCellMar>
        </w:tblPrEx>
        <w:trPr>
          <w:tblCellSpacing w:w="15" w:type="dxa"/>
        </w:trPr>
        <w:tc>
          <w:tcPr>
            <w:tcW w:w="3276" w:type="dxa"/>
            <w:vAlign w:val="center"/>
          </w:tcPr>
          <w:p w14:paraId="17EB7C98">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Neutrophils CD64-FITC / Lymphocytes CD64-FITC ratio</w:t>
            </w:r>
          </w:p>
        </w:tc>
        <w:tc>
          <w:tcPr>
            <w:tcW w:w="2660" w:type="dxa"/>
            <w:vAlign w:val="center"/>
          </w:tcPr>
          <w:p w14:paraId="4017A291">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4.58 ± 1.93</w:t>
            </w:r>
          </w:p>
        </w:tc>
        <w:tc>
          <w:tcPr>
            <w:tcW w:w="2477" w:type="dxa"/>
            <w:gridSpan w:val="2"/>
            <w:vAlign w:val="center"/>
          </w:tcPr>
          <w:p w14:paraId="65C47C3A">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28.66 ± 26.98</w:t>
            </w:r>
          </w:p>
        </w:tc>
        <w:tc>
          <w:tcPr>
            <w:tcW w:w="827" w:type="dxa"/>
            <w:vAlign w:val="center"/>
          </w:tcPr>
          <w:p w14:paraId="3DDE97F5">
            <w:pPr>
              <w:spacing w:after="0" w:line="240" w:lineRule="auto"/>
              <w:jc w:val="center"/>
              <w:rPr>
                <w:rFonts w:ascii="Times New Roman" w:hAnsi="Times New Roman" w:eastAsia="Times New Roman" w:cs="Times New Roman"/>
                <w:b/>
                <w:bCs/>
                <w:color w:val="FF0000"/>
                <w:sz w:val="24"/>
                <w:szCs w:val="24"/>
                <w:lang w:val="en-US"/>
              </w:rPr>
            </w:pPr>
            <w:r>
              <w:rPr>
                <w:rFonts w:ascii="Times New Roman" w:hAnsi="Times New Roman" w:eastAsia="Times New Roman" w:cs="Times New Roman"/>
                <w:b/>
                <w:bCs/>
                <w:color w:val="FF0000"/>
                <w:sz w:val="24"/>
                <w:szCs w:val="24"/>
                <w:lang w:val="en-US"/>
              </w:rPr>
              <w:t>&lt;0.001*</w:t>
            </w:r>
          </w:p>
        </w:tc>
      </w:tr>
    </w:tbl>
    <w:p w14:paraId="6BB3D948">
      <w:pPr>
        <w:spacing w:before="100" w:beforeAutospacing="1" w:after="100" w:afterAutospacing="1"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CRP: C-reactive protein; WBCs: white blood cells; RBCs: red blood cells; MCV: mean corpuscular volume; MCH: mean corpuscular hemoglobin; MCHC: mean corpuscular hemoglobin concentration; BUN: blood urea nitrogen; ALT: alanine aminotransferase; AST: aspartate aminotransferase; ALP: alkaline phosphatase; NICU: neonatal intensive care unit; ICU: intensive care unit.</w:t>
      </w:r>
    </w:p>
    <w:p w14:paraId="6DA398FD">
      <w:pPr>
        <w:spacing w:before="100" w:beforeAutospacing="1" w:after="100" w:afterAutospacing="1"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P-values were calculated using chi-square test for categorical variables and Student's t-test for continuous variables. *P&lt;0.05 was considered statistically significant.</w:t>
      </w:r>
    </w:p>
    <w:p w14:paraId="3831093D">
      <w:pPr>
        <w:spacing w:after="200" w:line="276" w:lineRule="auto"/>
        <w:rPr>
          <w:lang w:val="en-US"/>
        </w:rPr>
      </w:pPr>
    </w:p>
    <w:p w14:paraId="4C3C2F38">
      <w:pPr>
        <w:spacing w:after="200" w:line="276" w:lineRule="auto"/>
        <w:rPr>
          <w:lang w:val="en-US"/>
        </w:rPr>
      </w:pPr>
    </w:p>
    <w:p w14:paraId="3BEC4AD0">
      <w:pPr>
        <w:spacing w:after="200" w:line="276" w:lineRule="auto"/>
        <w:rPr>
          <w:lang w:val="en-US"/>
        </w:rPr>
      </w:pPr>
    </w:p>
    <w:p w14:paraId="72FEF4BC">
      <w:pPr>
        <w:spacing w:after="200" w:line="276" w:lineRule="auto"/>
        <w:rPr>
          <w:lang w:val="en-US"/>
        </w:rPr>
      </w:pPr>
    </w:p>
    <w:p w14:paraId="39FFD512">
      <w:pPr>
        <w:spacing w:after="200" w:line="276" w:lineRule="auto"/>
        <w:rPr>
          <w:lang w:val="en-US"/>
        </w:rPr>
      </w:pPr>
    </w:p>
    <w:p w14:paraId="269DE849">
      <w:pPr>
        <w:spacing w:after="200" w:line="276" w:lineRule="auto"/>
        <w:rPr>
          <w:lang w:val="en-US"/>
        </w:rPr>
      </w:pPr>
    </w:p>
    <w:p w14:paraId="12E4FCB5">
      <w:pPr>
        <w:spacing w:after="200" w:line="276" w:lineRule="auto"/>
        <w:rPr>
          <w:lang w:val="en-US"/>
        </w:rPr>
      </w:pPr>
    </w:p>
    <w:p w14:paraId="75BF6A77">
      <w:pPr>
        <w:spacing w:after="200" w:line="276" w:lineRule="auto"/>
        <w:rPr>
          <w:lang w:val="en-US"/>
        </w:rPr>
      </w:pPr>
    </w:p>
    <w:p w14:paraId="4B6458B5">
      <w:pPr>
        <w:spacing w:after="200" w:line="276" w:lineRule="auto"/>
        <w:rPr>
          <w:lang w:val="en-US"/>
        </w:rPr>
      </w:pPr>
    </w:p>
    <w:p w14:paraId="63ABECCC">
      <w:pPr>
        <w:spacing w:after="200" w:line="276" w:lineRule="auto"/>
        <w:rPr>
          <w:lang w:val="en-US"/>
        </w:rPr>
      </w:pPr>
    </w:p>
    <w:p w14:paraId="70131894">
      <w:pPr>
        <w:spacing w:after="200" w:line="276" w:lineRule="auto"/>
        <w:rPr>
          <w:lang w:val="en-US"/>
        </w:rPr>
      </w:pPr>
    </w:p>
    <w:p w14:paraId="27A2E8AB">
      <w:pPr>
        <w:spacing w:after="200" w:line="276" w:lineRule="auto"/>
        <w:rPr>
          <w:lang w:val="en-US"/>
        </w:rPr>
      </w:pPr>
    </w:p>
    <w:p w14:paraId="2FC4A830">
      <w:pPr>
        <w:spacing w:after="200" w:line="276" w:lineRule="auto"/>
        <w:rPr>
          <w:lang w:val="en-US"/>
        </w:rPr>
        <w:sectPr>
          <w:pgSz w:w="12240" w:h="15840"/>
          <w:pgMar w:top="1440" w:right="1440" w:bottom="1440" w:left="1440" w:header="720" w:footer="720" w:gutter="0"/>
          <w:cols w:space="720" w:num="1"/>
          <w:docGrid w:linePitch="360" w:charSpace="0"/>
        </w:sectPr>
      </w:pPr>
    </w:p>
    <w:p w14:paraId="2674F887">
      <w:pPr>
        <w:spacing w:after="200" w:line="276" w:lineRule="auto"/>
        <w:rPr>
          <w:lang w:val="en-US"/>
        </w:rPr>
      </w:pPr>
    </w:p>
    <w:p w14:paraId="706F2AA2">
      <w:pPr>
        <w:spacing w:after="20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Table </w:t>
      </w:r>
      <w:r>
        <w:rPr>
          <w:rFonts w:hint="default" w:asciiTheme="majorBidi" w:hAnsiTheme="majorBidi" w:cstheme="majorBidi"/>
          <w:sz w:val="24"/>
          <w:szCs w:val="24"/>
          <w:lang w:val="en-US"/>
        </w:rPr>
        <w:t>2</w:t>
      </w:r>
      <w:r>
        <w:rPr>
          <w:rFonts w:asciiTheme="majorBidi" w:hAnsiTheme="majorBidi" w:cstheme="majorBidi"/>
          <w:sz w:val="24"/>
          <w:szCs w:val="24"/>
          <w:lang w:val="en-US"/>
        </w:rPr>
        <w:t xml:space="preserve"> demonstrates significant associations between biomarkers and clinical outcomes in pediatric pneumonia. Patients with prolonged hospitalization (&gt;1 week) showed significantly elevated CRP and increased CD64 ratios. ICU admission was associated with higher inflammatory markers, particularly CRP (64.74±51.32 vs. 27.84±28.07 mg/L, p=0.001) . Similarly, mechanical ventilation requirement correlated with elevated CRP (p=0.001) and increased neutrophil/monocyte CD64 ratio (p=0.020), indicating enhanced neutrophil activation in critically ill patients.</w:t>
      </w:r>
    </w:p>
    <w:p w14:paraId="73C36FA6">
      <w:pPr>
        <w:spacing w:before="100" w:beforeAutospacing="1" w:after="100" w:afterAutospacing="1" w:line="240" w:lineRule="auto"/>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 xml:space="preserve">Table </w:t>
      </w:r>
      <w:r>
        <w:rPr>
          <w:rFonts w:hint="default" w:ascii="Times New Roman" w:hAnsi="Times New Roman" w:eastAsia="Times New Roman" w:cs="Times New Roman"/>
          <w:b/>
          <w:bCs/>
          <w:sz w:val="24"/>
          <w:szCs w:val="24"/>
          <w:lang w:val="en-US"/>
        </w:rPr>
        <w:t>2</w:t>
      </w:r>
      <w:r>
        <w:rPr>
          <w:rFonts w:ascii="Times New Roman" w:hAnsi="Times New Roman" w:eastAsia="Times New Roman" w:cs="Times New Roman"/>
          <w:b/>
          <w:bCs/>
          <w:sz w:val="24"/>
          <w:szCs w:val="24"/>
          <w:lang w:val="en-US"/>
        </w:rPr>
        <w:t>. Association of Biomarkers with Disease Severity and Clinical Outcomes in Pediatric Pneumonia Cases</w:t>
      </w:r>
    </w:p>
    <w:tbl>
      <w:tblPr>
        <w:tblStyle w:val="8"/>
        <w:tblW w:w="14505" w:type="dxa"/>
        <w:tblCellSpacing w:w="15" w:type="dxa"/>
        <w:tblInd w:w="-765" w:type="dxa"/>
        <w:tblLayout w:type="autofit"/>
        <w:tblCellMar>
          <w:top w:w="15" w:type="dxa"/>
          <w:left w:w="15" w:type="dxa"/>
          <w:bottom w:w="15" w:type="dxa"/>
          <w:right w:w="15" w:type="dxa"/>
        </w:tblCellMar>
      </w:tblPr>
      <w:tblGrid>
        <w:gridCol w:w="3322"/>
        <w:gridCol w:w="1483"/>
        <w:gridCol w:w="1488"/>
        <w:gridCol w:w="791"/>
        <w:gridCol w:w="1391"/>
        <w:gridCol w:w="1391"/>
        <w:gridCol w:w="665"/>
        <w:gridCol w:w="1595"/>
        <w:gridCol w:w="1595"/>
        <w:gridCol w:w="784"/>
      </w:tblGrid>
      <w:tr w14:paraId="7B6DD5E2">
        <w:tblPrEx>
          <w:tblCellMar>
            <w:top w:w="15" w:type="dxa"/>
            <w:left w:w="15" w:type="dxa"/>
            <w:bottom w:w="15" w:type="dxa"/>
            <w:right w:w="15" w:type="dxa"/>
          </w:tblCellMar>
        </w:tblPrEx>
        <w:trPr>
          <w:trHeight w:val="1145" w:hRule="atLeast"/>
          <w:tblCellSpacing w:w="15" w:type="dxa"/>
        </w:trPr>
        <w:tc>
          <w:tcPr>
            <w:tcW w:w="0" w:type="auto"/>
            <w:tcBorders>
              <w:top w:val="single" w:color="auto" w:sz="12" w:space="0"/>
              <w:bottom w:val="single" w:color="auto" w:sz="12" w:space="0"/>
            </w:tcBorders>
            <w:vAlign w:val="center"/>
          </w:tcPr>
          <w:p w14:paraId="2B9F3B9A">
            <w:pPr>
              <w:spacing w:after="0" w:line="240" w:lineRule="auto"/>
              <w:jc w:val="center"/>
              <w:rPr>
                <w:rFonts w:ascii="Times New Roman" w:hAnsi="Times New Roman" w:eastAsia="Times New Roman" w:cs="Times New Roman"/>
                <w:b/>
                <w:bCs/>
                <w:lang w:val="en-US"/>
              </w:rPr>
            </w:pPr>
            <w:r>
              <w:rPr>
                <w:rFonts w:ascii="Times New Roman" w:hAnsi="Times New Roman" w:eastAsia="Times New Roman" w:cs="Times New Roman"/>
                <w:b/>
                <w:bCs/>
                <w:lang w:val="en-US"/>
              </w:rPr>
              <w:t>Biomarker</w:t>
            </w:r>
          </w:p>
        </w:tc>
        <w:tc>
          <w:tcPr>
            <w:tcW w:w="0" w:type="auto"/>
            <w:gridSpan w:val="3"/>
            <w:tcBorders>
              <w:top w:val="single" w:color="auto" w:sz="12" w:space="0"/>
              <w:bottom w:val="single" w:color="auto" w:sz="12" w:space="0"/>
            </w:tcBorders>
            <w:vAlign w:val="center"/>
          </w:tcPr>
          <w:p w14:paraId="16BE4602">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b/>
                <w:bCs/>
                <w:lang w:val="en-US"/>
              </w:rPr>
              <w:t>Hospital Stay Duration</w:t>
            </w:r>
          </w:p>
        </w:tc>
        <w:tc>
          <w:tcPr>
            <w:tcW w:w="0" w:type="auto"/>
            <w:gridSpan w:val="3"/>
            <w:tcBorders>
              <w:top w:val="single" w:color="auto" w:sz="12" w:space="0"/>
              <w:bottom w:val="single" w:color="auto" w:sz="12" w:space="0"/>
            </w:tcBorders>
            <w:vAlign w:val="center"/>
          </w:tcPr>
          <w:p w14:paraId="1C908402">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b/>
                <w:bCs/>
                <w:lang w:val="en-US"/>
              </w:rPr>
              <w:t>ICU Admission</w:t>
            </w:r>
          </w:p>
        </w:tc>
        <w:tc>
          <w:tcPr>
            <w:tcW w:w="3967" w:type="dxa"/>
            <w:gridSpan w:val="3"/>
            <w:tcBorders>
              <w:top w:val="single" w:color="auto" w:sz="12" w:space="0"/>
              <w:bottom w:val="single" w:color="auto" w:sz="12" w:space="0"/>
            </w:tcBorders>
            <w:vAlign w:val="center"/>
          </w:tcPr>
          <w:p w14:paraId="6F250CED">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b/>
                <w:bCs/>
                <w:lang w:val="en-US"/>
              </w:rPr>
              <w:t>Mechanical Ventilation</w:t>
            </w:r>
          </w:p>
        </w:tc>
      </w:tr>
      <w:tr w14:paraId="7B150ADA">
        <w:tblPrEx>
          <w:tblCellMar>
            <w:top w:w="15" w:type="dxa"/>
            <w:left w:w="15" w:type="dxa"/>
            <w:bottom w:w="15" w:type="dxa"/>
            <w:right w:w="15" w:type="dxa"/>
          </w:tblCellMar>
        </w:tblPrEx>
        <w:trPr>
          <w:trHeight w:val="557" w:hRule="atLeast"/>
          <w:tblCellSpacing w:w="15" w:type="dxa"/>
        </w:trPr>
        <w:tc>
          <w:tcPr>
            <w:tcW w:w="0" w:type="auto"/>
            <w:vAlign w:val="center"/>
          </w:tcPr>
          <w:p w14:paraId="3FB32D9F">
            <w:pPr>
              <w:spacing w:after="0" w:line="240" w:lineRule="auto"/>
              <w:jc w:val="center"/>
              <w:rPr>
                <w:rFonts w:ascii="Times New Roman" w:hAnsi="Times New Roman" w:eastAsia="Times New Roman" w:cs="Times New Roman"/>
                <w:lang w:val="en-US"/>
              </w:rPr>
            </w:pPr>
          </w:p>
        </w:tc>
        <w:tc>
          <w:tcPr>
            <w:tcW w:w="0" w:type="auto"/>
            <w:vAlign w:val="center"/>
          </w:tcPr>
          <w:p w14:paraId="57EA039A">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b/>
                <w:bCs/>
                <w:lang w:val="en-US"/>
              </w:rPr>
              <w:t>≤1 week (n=29)</w:t>
            </w:r>
          </w:p>
        </w:tc>
        <w:tc>
          <w:tcPr>
            <w:tcW w:w="0" w:type="auto"/>
            <w:vAlign w:val="center"/>
          </w:tcPr>
          <w:p w14:paraId="479918CA">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b/>
                <w:bCs/>
                <w:lang w:val="en-US"/>
              </w:rPr>
              <w:t>&gt;1 week (n=31)</w:t>
            </w:r>
          </w:p>
        </w:tc>
        <w:tc>
          <w:tcPr>
            <w:tcW w:w="0" w:type="auto"/>
            <w:vAlign w:val="center"/>
          </w:tcPr>
          <w:p w14:paraId="5758E229">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b/>
                <w:bCs/>
                <w:lang w:val="en-US"/>
              </w:rPr>
              <w:t>p</w:t>
            </w:r>
          </w:p>
        </w:tc>
        <w:tc>
          <w:tcPr>
            <w:tcW w:w="0" w:type="auto"/>
            <w:vAlign w:val="center"/>
          </w:tcPr>
          <w:p w14:paraId="07E92480">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b/>
                <w:bCs/>
                <w:lang w:val="en-US"/>
              </w:rPr>
              <w:t>No (n=32)</w:t>
            </w:r>
          </w:p>
        </w:tc>
        <w:tc>
          <w:tcPr>
            <w:tcW w:w="0" w:type="auto"/>
            <w:vAlign w:val="center"/>
          </w:tcPr>
          <w:p w14:paraId="162A01AB">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b/>
                <w:bCs/>
                <w:lang w:val="en-US"/>
              </w:rPr>
              <w:t>Yes (n=28)</w:t>
            </w:r>
          </w:p>
        </w:tc>
        <w:tc>
          <w:tcPr>
            <w:tcW w:w="0" w:type="auto"/>
            <w:vAlign w:val="center"/>
          </w:tcPr>
          <w:p w14:paraId="648EB551">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b/>
                <w:bCs/>
                <w:lang w:val="en-US"/>
              </w:rPr>
              <w:t>p</w:t>
            </w:r>
          </w:p>
        </w:tc>
        <w:tc>
          <w:tcPr>
            <w:tcW w:w="0" w:type="auto"/>
            <w:vAlign w:val="center"/>
          </w:tcPr>
          <w:p w14:paraId="51CEC71B">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b/>
                <w:bCs/>
                <w:lang w:val="en-US"/>
              </w:rPr>
              <w:t>No (n=35)</w:t>
            </w:r>
          </w:p>
        </w:tc>
        <w:tc>
          <w:tcPr>
            <w:tcW w:w="0" w:type="auto"/>
            <w:vAlign w:val="center"/>
          </w:tcPr>
          <w:p w14:paraId="04B9391E">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b/>
                <w:bCs/>
                <w:lang w:val="en-US"/>
              </w:rPr>
              <w:t>Yes (n=25)</w:t>
            </w:r>
          </w:p>
        </w:tc>
        <w:tc>
          <w:tcPr>
            <w:tcW w:w="635" w:type="dxa"/>
            <w:vAlign w:val="center"/>
          </w:tcPr>
          <w:p w14:paraId="50D0F35D">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b/>
                <w:bCs/>
                <w:lang w:val="en-US"/>
              </w:rPr>
              <w:t>p</w:t>
            </w:r>
          </w:p>
        </w:tc>
      </w:tr>
      <w:tr w14:paraId="28D86786">
        <w:tblPrEx>
          <w:tblCellMar>
            <w:top w:w="15" w:type="dxa"/>
            <w:left w:w="15" w:type="dxa"/>
            <w:bottom w:w="15" w:type="dxa"/>
            <w:right w:w="15" w:type="dxa"/>
          </w:tblCellMar>
        </w:tblPrEx>
        <w:trPr>
          <w:trHeight w:val="572" w:hRule="atLeast"/>
          <w:tblCellSpacing w:w="15" w:type="dxa"/>
        </w:trPr>
        <w:tc>
          <w:tcPr>
            <w:tcW w:w="0" w:type="auto"/>
            <w:vAlign w:val="center"/>
          </w:tcPr>
          <w:p w14:paraId="714E45C1">
            <w:pPr>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t>CRP (mg/L)</w:t>
            </w:r>
          </w:p>
        </w:tc>
        <w:tc>
          <w:tcPr>
            <w:tcW w:w="0" w:type="auto"/>
            <w:vAlign w:val="center"/>
          </w:tcPr>
          <w:p w14:paraId="62D6E0FE">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23.77±24.01</w:t>
            </w:r>
          </w:p>
        </w:tc>
        <w:tc>
          <w:tcPr>
            <w:tcW w:w="0" w:type="auto"/>
            <w:vAlign w:val="center"/>
          </w:tcPr>
          <w:p w14:paraId="68824F0E">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64.98±49.76</w:t>
            </w:r>
          </w:p>
        </w:tc>
        <w:tc>
          <w:tcPr>
            <w:tcW w:w="0" w:type="auto"/>
            <w:vAlign w:val="center"/>
          </w:tcPr>
          <w:p w14:paraId="6A1FC3AB">
            <w:pPr>
              <w:spacing w:after="0" w:line="240" w:lineRule="auto"/>
              <w:jc w:val="center"/>
              <w:rPr>
                <w:rFonts w:ascii="Times New Roman" w:hAnsi="Times New Roman" w:eastAsia="Times New Roman" w:cs="Times New Roman"/>
                <w:b/>
                <w:bCs/>
                <w:color w:val="FF0000"/>
                <w:lang w:val="en-US"/>
              </w:rPr>
            </w:pPr>
            <w:r>
              <w:rPr>
                <w:rFonts w:ascii="Times New Roman" w:hAnsi="Times New Roman" w:eastAsia="Times New Roman" w:cs="Times New Roman"/>
                <w:b/>
                <w:bCs/>
                <w:color w:val="FF0000"/>
                <w:lang w:val="en-US"/>
              </w:rPr>
              <w:t>&lt;0.001*</w:t>
            </w:r>
          </w:p>
        </w:tc>
        <w:tc>
          <w:tcPr>
            <w:tcW w:w="0" w:type="auto"/>
            <w:vAlign w:val="center"/>
          </w:tcPr>
          <w:p w14:paraId="5FA2736D">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27.84±28.07</w:t>
            </w:r>
          </w:p>
        </w:tc>
        <w:tc>
          <w:tcPr>
            <w:tcW w:w="0" w:type="auto"/>
            <w:vAlign w:val="center"/>
          </w:tcPr>
          <w:p w14:paraId="7633038C">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64.74±51.32</w:t>
            </w:r>
          </w:p>
        </w:tc>
        <w:tc>
          <w:tcPr>
            <w:tcW w:w="0" w:type="auto"/>
            <w:vAlign w:val="center"/>
          </w:tcPr>
          <w:p w14:paraId="1E1C01BB">
            <w:pPr>
              <w:spacing w:after="0" w:line="240" w:lineRule="auto"/>
              <w:jc w:val="center"/>
              <w:rPr>
                <w:rFonts w:ascii="Times New Roman" w:hAnsi="Times New Roman" w:eastAsia="Times New Roman" w:cs="Times New Roman"/>
                <w:b/>
                <w:bCs/>
                <w:color w:val="FF0000"/>
                <w:lang w:val="en-US"/>
              </w:rPr>
            </w:pPr>
            <w:r>
              <w:rPr>
                <w:rFonts w:ascii="Times New Roman" w:hAnsi="Times New Roman" w:eastAsia="Times New Roman" w:cs="Times New Roman"/>
                <w:b/>
                <w:bCs/>
                <w:color w:val="FF0000"/>
                <w:lang w:val="en-US"/>
              </w:rPr>
              <w:t>0.001*</w:t>
            </w:r>
          </w:p>
        </w:tc>
        <w:tc>
          <w:tcPr>
            <w:tcW w:w="0" w:type="auto"/>
            <w:vAlign w:val="center"/>
          </w:tcPr>
          <w:p w14:paraId="337B1DC1">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28.91±27.07</w:t>
            </w:r>
          </w:p>
        </w:tc>
        <w:tc>
          <w:tcPr>
            <w:tcW w:w="0" w:type="auto"/>
            <w:vAlign w:val="center"/>
          </w:tcPr>
          <w:p w14:paraId="15313F25">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67.67±53.63</w:t>
            </w:r>
          </w:p>
        </w:tc>
        <w:tc>
          <w:tcPr>
            <w:tcW w:w="635" w:type="dxa"/>
            <w:vAlign w:val="center"/>
          </w:tcPr>
          <w:p w14:paraId="1D50339A">
            <w:pPr>
              <w:spacing w:after="0" w:line="240" w:lineRule="auto"/>
              <w:jc w:val="center"/>
              <w:rPr>
                <w:rFonts w:ascii="Times New Roman" w:hAnsi="Times New Roman" w:eastAsia="Times New Roman" w:cs="Times New Roman"/>
                <w:b/>
                <w:bCs/>
                <w:color w:val="FF0000"/>
                <w:lang w:val="en-US"/>
              </w:rPr>
            </w:pPr>
            <w:r>
              <w:rPr>
                <w:rFonts w:ascii="Times New Roman" w:hAnsi="Times New Roman" w:eastAsia="Times New Roman" w:cs="Times New Roman"/>
                <w:b/>
                <w:bCs/>
                <w:color w:val="FF0000"/>
                <w:lang w:val="en-US"/>
              </w:rPr>
              <w:t>0.001*</w:t>
            </w:r>
          </w:p>
        </w:tc>
      </w:tr>
      <w:tr w14:paraId="04B29640">
        <w:tblPrEx>
          <w:tblCellMar>
            <w:top w:w="15" w:type="dxa"/>
            <w:left w:w="15" w:type="dxa"/>
            <w:bottom w:w="15" w:type="dxa"/>
            <w:right w:w="15" w:type="dxa"/>
          </w:tblCellMar>
        </w:tblPrEx>
        <w:trPr>
          <w:trHeight w:val="572" w:hRule="atLeast"/>
          <w:tblCellSpacing w:w="15" w:type="dxa"/>
        </w:trPr>
        <w:tc>
          <w:tcPr>
            <w:tcW w:w="0" w:type="auto"/>
            <w:vAlign w:val="center"/>
          </w:tcPr>
          <w:p w14:paraId="11084B96">
            <w:pPr>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t>Neutrophils CD64-FITC</w:t>
            </w:r>
          </w:p>
        </w:tc>
        <w:tc>
          <w:tcPr>
            <w:tcW w:w="0" w:type="auto"/>
            <w:vAlign w:val="center"/>
          </w:tcPr>
          <w:p w14:paraId="06486D0C">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612.99±223.72</w:t>
            </w:r>
          </w:p>
        </w:tc>
        <w:tc>
          <w:tcPr>
            <w:tcW w:w="0" w:type="auto"/>
            <w:vAlign w:val="center"/>
          </w:tcPr>
          <w:p w14:paraId="238C17A3">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767.21±388.27</w:t>
            </w:r>
          </w:p>
        </w:tc>
        <w:tc>
          <w:tcPr>
            <w:tcW w:w="0" w:type="auto"/>
            <w:vAlign w:val="center"/>
          </w:tcPr>
          <w:p w14:paraId="50739D7C">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0.063</w:t>
            </w:r>
          </w:p>
        </w:tc>
        <w:tc>
          <w:tcPr>
            <w:tcW w:w="0" w:type="auto"/>
            <w:vAlign w:val="center"/>
          </w:tcPr>
          <w:p w14:paraId="7E6D6CA5">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618.69±216.78</w:t>
            </w:r>
          </w:p>
        </w:tc>
        <w:tc>
          <w:tcPr>
            <w:tcW w:w="0" w:type="auto"/>
            <w:vAlign w:val="center"/>
          </w:tcPr>
          <w:p w14:paraId="46EDE489">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777.23±405.89</w:t>
            </w:r>
          </w:p>
        </w:tc>
        <w:tc>
          <w:tcPr>
            <w:tcW w:w="0" w:type="auto"/>
            <w:vAlign w:val="center"/>
          </w:tcPr>
          <w:p w14:paraId="2F653982">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0.060</w:t>
            </w:r>
          </w:p>
        </w:tc>
        <w:tc>
          <w:tcPr>
            <w:tcW w:w="0" w:type="auto"/>
            <w:vAlign w:val="center"/>
          </w:tcPr>
          <w:p w14:paraId="595BEC9E">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627.97±209.78</w:t>
            </w:r>
          </w:p>
        </w:tc>
        <w:tc>
          <w:tcPr>
            <w:tcW w:w="0" w:type="auto"/>
            <w:vAlign w:val="center"/>
          </w:tcPr>
          <w:p w14:paraId="369152AC">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783.26±429.75</w:t>
            </w:r>
          </w:p>
        </w:tc>
        <w:tc>
          <w:tcPr>
            <w:tcW w:w="635" w:type="dxa"/>
            <w:vAlign w:val="center"/>
          </w:tcPr>
          <w:p w14:paraId="001D7232">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0.105</w:t>
            </w:r>
          </w:p>
        </w:tc>
      </w:tr>
      <w:tr w14:paraId="5930E2C7">
        <w:tblPrEx>
          <w:tblCellMar>
            <w:top w:w="15" w:type="dxa"/>
            <w:left w:w="15" w:type="dxa"/>
            <w:bottom w:w="15" w:type="dxa"/>
            <w:right w:w="15" w:type="dxa"/>
          </w:tblCellMar>
        </w:tblPrEx>
        <w:trPr>
          <w:trHeight w:val="851" w:hRule="atLeast"/>
          <w:tblCellSpacing w:w="15" w:type="dxa"/>
        </w:trPr>
        <w:tc>
          <w:tcPr>
            <w:tcW w:w="0" w:type="auto"/>
            <w:vAlign w:val="center"/>
          </w:tcPr>
          <w:p w14:paraId="523ABD90">
            <w:pPr>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t>Neutrophils/Monocytes CD64 ratio</w:t>
            </w:r>
          </w:p>
        </w:tc>
        <w:tc>
          <w:tcPr>
            <w:tcW w:w="0" w:type="auto"/>
            <w:vAlign w:val="center"/>
          </w:tcPr>
          <w:p w14:paraId="32871AE3">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0.69±0.51</w:t>
            </w:r>
          </w:p>
        </w:tc>
        <w:tc>
          <w:tcPr>
            <w:tcW w:w="0" w:type="auto"/>
            <w:vAlign w:val="center"/>
          </w:tcPr>
          <w:p w14:paraId="041F346F">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1.35±1.59</w:t>
            </w:r>
          </w:p>
        </w:tc>
        <w:tc>
          <w:tcPr>
            <w:tcW w:w="0" w:type="auto"/>
            <w:vAlign w:val="center"/>
          </w:tcPr>
          <w:p w14:paraId="3C2B421E">
            <w:pPr>
              <w:spacing w:after="0" w:line="240" w:lineRule="auto"/>
              <w:jc w:val="center"/>
              <w:rPr>
                <w:rFonts w:ascii="Times New Roman" w:hAnsi="Times New Roman" w:eastAsia="Times New Roman" w:cs="Times New Roman"/>
                <w:b/>
                <w:bCs/>
                <w:lang w:val="en-US"/>
              </w:rPr>
            </w:pPr>
            <w:r>
              <w:rPr>
                <w:rFonts w:ascii="Times New Roman" w:hAnsi="Times New Roman" w:eastAsia="Times New Roman" w:cs="Times New Roman"/>
                <w:b/>
                <w:bCs/>
                <w:color w:val="FF0000"/>
                <w:lang w:val="en-US"/>
              </w:rPr>
              <w:t>0.036*</w:t>
            </w:r>
          </w:p>
        </w:tc>
        <w:tc>
          <w:tcPr>
            <w:tcW w:w="0" w:type="auto"/>
            <w:vAlign w:val="center"/>
          </w:tcPr>
          <w:p w14:paraId="629450CA">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0.71±0.49</w:t>
            </w:r>
          </w:p>
        </w:tc>
        <w:tc>
          <w:tcPr>
            <w:tcW w:w="0" w:type="auto"/>
            <w:vAlign w:val="center"/>
          </w:tcPr>
          <w:p w14:paraId="6EEC31B1">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1.39±1.67</w:t>
            </w:r>
          </w:p>
        </w:tc>
        <w:tc>
          <w:tcPr>
            <w:tcW w:w="0" w:type="auto"/>
            <w:vAlign w:val="center"/>
          </w:tcPr>
          <w:p w14:paraId="763B4B1C">
            <w:pPr>
              <w:spacing w:after="0" w:line="240" w:lineRule="auto"/>
              <w:jc w:val="center"/>
              <w:rPr>
                <w:rFonts w:ascii="Times New Roman" w:hAnsi="Times New Roman" w:eastAsia="Times New Roman" w:cs="Times New Roman"/>
                <w:b/>
                <w:bCs/>
                <w:lang w:val="en-US"/>
              </w:rPr>
            </w:pPr>
            <w:r>
              <w:rPr>
                <w:rFonts w:ascii="Times New Roman" w:hAnsi="Times New Roman" w:eastAsia="Times New Roman" w:cs="Times New Roman"/>
                <w:b/>
                <w:bCs/>
                <w:color w:val="FF0000"/>
                <w:lang w:val="en-US"/>
              </w:rPr>
              <w:t>0.031*</w:t>
            </w:r>
          </w:p>
        </w:tc>
        <w:tc>
          <w:tcPr>
            <w:tcW w:w="0" w:type="auto"/>
            <w:vAlign w:val="center"/>
          </w:tcPr>
          <w:p w14:paraId="5BBD5C18">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0.72±0.47</w:t>
            </w:r>
          </w:p>
        </w:tc>
        <w:tc>
          <w:tcPr>
            <w:tcW w:w="0" w:type="auto"/>
            <w:vAlign w:val="center"/>
          </w:tcPr>
          <w:p w14:paraId="0A82E65B">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1.46±1.76</w:t>
            </w:r>
          </w:p>
        </w:tc>
        <w:tc>
          <w:tcPr>
            <w:tcW w:w="635" w:type="dxa"/>
            <w:vAlign w:val="center"/>
          </w:tcPr>
          <w:p w14:paraId="5ACBD82B">
            <w:pPr>
              <w:spacing w:after="0" w:line="240" w:lineRule="auto"/>
              <w:jc w:val="center"/>
              <w:rPr>
                <w:rFonts w:ascii="Times New Roman" w:hAnsi="Times New Roman" w:eastAsia="Times New Roman" w:cs="Times New Roman"/>
                <w:b/>
                <w:bCs/>
                <w:lang w:val="en-US"/>
              </w:rPr>
            </w:pPr>
            <w:r>
              <w:rPr>
                <w:rFonts w:ascii="Times New Roman" w:hAnsi="Times New Roman" w:eastAsia="Times New Roman" w:cs="Times New Roman"/>
                <w:b/>
                <w:bCs/>
                <w:color w:val="FF0000"/>
                <w:lang w:val="en-US"/>
              </w:rPr>
              <w:t>0.020*</w:t>
            </w:r>
          </w:p>
        </w:tc>
      </w:tr>
      <w:tr w14:paraId="03A4BC07">
        <w:tblPrEx>
          <w:tblCellMar>
            <w:top w:w="15" w:type="dxa"/>
            <w:left w:w="15" w:type="dxa"/>
            <w:bottom w:w="15" w:type="dxa"/>
            <w:right w:w="15" w:type="dxa"/>
          </w:tblCellMar>
        </w:tblPrEx>
        <w:trPr>
          <w:trHeight w:val="851" w:hRule="atLeast"/>
          <w:tblCellSpacing w:w="15" w:type="dxa"/>
        </w:trPr>
        <w:tc>
          <w:tcPr>
            <w:tcW w:w="0" w:type="auto"/>
            <w:vAlign w:val="center"/>
          </w:tcPr>
          <w:p w14:paraId="4378E17B">
            <w:pPr>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t>Neutrophils/Lymphocytes CD64 ratio</w:t>
            </w:r>
          </w:p>
        </w:tc>
        <w:tc>
          <w:tcPr>
            <w:tcW w:w="0" w:type="auto"/>
            <w:vAlign w:val="center"/>
          </w:tcPr>
          <w:p w14:paraId="0F6F08D3">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19.14±14.89</w:t>
            </w:r>
          </w:p>
        </w:tc>
        <w:tc>
          <w:tcPr>
            <w:tcW w:w="0" w:type="auto"/>
            <w:vAlign w:val="center"/>
          </w:tcPr>
          <w:p w14:paraId="31B231AA">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36.38±32.88</w:t>
            </w:r>
          </w:p>
        </w:tc>
        <w:tc>
          <w:tcPr>
            <w:tcW w:w="0" w:type="auto"/>
            <w:vAlign w:val="center"/>
          </w:tcPr>
          <w:p w14:paraId="1C280447">
            <w:pPr>
              <w:spacing w:after="0" w:line="240" w:lineRule="auto"/>
              <w:jc w:val="center"/>
              <w:rPr>
                <w:rFonts w:ascii="Times New Roman" w:hAnsi="Times New Roman" w:eastAsia="Times New Roman" w:cs="Times New Roman"/>
                <w:b/>
                <w:bCs/>
                <w:color w:val="FF0000"/>
                <w:lang w:val="en-US"/>
              </w:rPr>
            </w:pPr>
            <w:r>
              <w:rPr>
                <w:rFonts w:ascii="Times New Roman" w:hAnsi="Times New Roman" w:eastAsia="Times New Roman" w:cs="Times New Roman"/>
                <w:b/>
                <w:bCs/>
                <w:color w:val="FF0000"/>
                <w:lang w:val="en-US"/>
              </w:rPr>
              <w:t>0.012*</w:t>
            </w:r>
          </w:p>
        </w:tc>
        <w:tc>
          <w:tcPr>
            <w:tcW w:w="0" w:type="auto"/>
            <w:vAlign w:val="center"/>
          </w:tcPr>
          <w:p w14:paraId="4638D024">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23.33±20.22</w:t>
            </w:r>
          </w:p>
        </w:tc>
        <w:tc>
          <w:tcPr>
            <w:tcW w:w="0" w:type="auto"/>
            <w:vAlign w:val="center"/>
          </w:tcPr>
          <w:p w14:paraId="0C95BF56">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33.44±32.71</w:t>
            </w:r>
          </w:p>
        </w:tc>
        <w:tc>
          <w:tcPr>
            <w:tcW w:w="0" w:type="auto"/>
            <w:vAlign w:val="center"/>
          </w:tcPr>
          <w:p w14:paraId="67D9F9F1">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0.150</w:t>
            </w:r>
          </w:p>
        </w:tc>
        <w:tc>
          <w:tcPr>
            <w:tcW w:w="0" w:type="auto"/>
            <w:vAlign w:val="center"/>
          </w:tcPr>
          <w:p w14:paraId="30567921">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24.07±19.56</w:t>
            </w:r>
          </w:p>
        </w:tc>
        <w:tc>
          <w:tcPr>
            <w:tcW w:w="0" w:type="auto"/>
            <w:vAlign w:val="center"/>
          </w:tcPr>
          <w:p w14:paraId="0071B405">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33.63±34.61</w:t>
            </w:r>
          </w:p>
        </w:tc>
        <w:tc>
          <w:tcPr>
            <w:tcW w:w="635" w:type="dxa"/>
            <w:vAlign w:val="center"/>
          </w:tcPr>
          <w:p w14:paraId="2513CCCE">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0.179</w:t>
            </w:r>
          </w:p>
        </w:tc>
      </w:tr>
    </w:tbl>
    <w:p w14:paraId="61CE1891">
      <w:pPr>
        <w:spacing w:before="100" w:beforeAutospacing="1" w:after="100" w:afterAutospacing="1"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CRP: C-reactive protein; CD64: cluster of differentiation 64; FITC: fluorescein isothiocyanate; ICU: intensive care unit.</w:t>
      </w:r>
    </w:p>
    <w:p w14:paraId="3A9167D4">
      <w:pPr>
        <w:spacing w:before="100" w:beforeAutospacing="1" w:after="100" w:afterAutospacing="1"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P-values were calculated using Student's t-test for independent samples. *P&lt;0.05 was considered statistically significant.</w:t>
      </w:r>
    </w:p>
    <w:p w14:paraId="7748F672">
      <w:pPr>
        <w:spacing w:after="200" w:line="480" w:lineRule="auto"/>
        <w:jc w:val="both"/>
        <w:rPr>
          <w:rFonts w:asciiTheme="majorBidi" w:hAnsiTheme="majorBidi" w:cstheme="majorBidi"/>
          <w:sz w:val="24"/>
          <w:szCs w:val="24"/>
          <w:lang w:val="en-US"/>
        </w:rPr>
        <w:sectPr>
          <w:pgSz w:w="15840" w:h="12240" w:orient="landscape"/>
          <w:pgMar w:top="1440" w:right="1440" w:bottom="1440" w:left="1440" w:header="720" w:footer="720" w:gutter="0"/>
          <w:cols w:space="720" w:num="1"/>
          <w:docGrid w:linePitch="360" w:charSpace="0"/>
        </w:sectPr>
      </w:pPr>
    </w:p>
    <w:p w14:paraId="452369BA">
      <w:pPr>
        <w:spacing w:after="20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Table </w:t>
      </w:r>
      <w:r>
        <w:rPr>
          <w:rFonts w:hint="default" w:asciiTheme="majorBidi" w:hAnsiTheme="majorBidi" w:cstheme="majorBidi"/>
          <w:sz w:val="24"/>
          <w:szCs w:val="24"/>
          <w:lang w:val="en-US"/>
        </w:rPr>
        <w:t>3</w:t>
      </w:r>
      <w:r>
        <w:rPr>
          <w:rFonts w:asciiTheme="majorBidi" w:hAnsiTheme="majorBidi" w:cstheme="majorBidi"/>
          <w:sz w:val="24"/>
          <w:szCs w:val="24"/>
          <w:lang w:val="en-US"/>
        </w:rPr>
        <w:t xml:space="preserve"> reveals a progressive relationship between biomarker levels and disease severity as measured by Clinical Respiratory Score. CRP levels increased significantly across severity groups (13.24±26.29 to 66.32±52.95 mg/L, p=0.001),  while neutrophil CD64 and CD64 ratios showed results toward higher values in severe cases, these differences did not reach statistical significance.</w:t>
      </w:r>
    </w:p>
    <w:p w14:paraId="7A9BD737">
      <w:pPr>
        <w:spacing w:before="100" w:beforeAutospacing="1" w:after="100" w:afterAutospacing="1" w:line="240" w:lineRule="auto"/>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 xml:space="preserve">Table </w:t>
      </w:r>
      <w:r>
        <w:rPr>
          <w:rFonts w:hint="default" w:ascii="Times New Roman" w:hAnsi="Times New Roman" w:eastAsia="Times New Roman" w:cs="Times New Roman"/>
          <w:b/>
          <w:bCs/>
          <w:sz w:val="24"/>
          <w:szCs w:val="24"/>
          <w:lang w:val="en-US"/>
        </w:rPr>
        <w:t>3</w:t>
      </w:r>
      <w:r>
        <w:rPr>
          <w:rFonts w:ascii="Times New Roman" w:hAnsi="Times New Roman" w:eastAsia="Times New Roman" w:cs="Times New Roman"/>
          <w:b/>
          <w:bCs/>
          <w:sz w:val="24"/>
          <w:szCs w:val="24"/>
          <w:lang w:val="en-US"/>
        </w:rPr>
        <w:t>. Biomarkers According to Clinical Respiratory Score Severity in Pediatric Pneumonia Cases</w:t>
      </w:r>
    </w:p>
    <w:tbl>
      <w:tblPr>
        <w:tblStyle w:val="8"/>
        <w:tblW w:w="0" w:type="auto"/>
        <w:tblCellSpacing w:w="15" w:type="dxa"/>
        <w:tblInd w:w="0" w:type="dxa"/>
        <w:tblLayout w:type="autofit"/>
        <w:tblCellMar>
          <w:top w:w="15" w:type="dxa"/>
          <w:left w:w="15" w:type="dxa"/>
          <w:bottom w:w="15" w:type="dxa"/>
          <w:right w:w="15" w:type="dxa"/>
        </w:tblCellMar>
      </w:tblPr>
      <w:tblGrid>
        <w:gridCol w:w="3203"/>
        <w:gridCol w:w="1645"/>
        <w:gridCol w:w="1960"/>
        <w:gridCol w:w="1851"/>
        <w:gridCol w:w="791"/>
      </w:tblGrid>
      <w:tr w14:paraId="67C7BBE9">
        <w:tblPrEx>
          <w:tblCellMar>
            <w:top w:w="15" w:type="dxa"/>
            <w:left w:w="15" w:type="dxa"/>
            <w:bottom w:w="15" w:type="dxa"/>
            <w:right w:w="15" w:type="dxa"/>
          </w:tblCellMar>
        </w:tblPrEx>
        <w:trPr>
          <w:tblHeader/>
          <w:tblCellSpacing w:w="15" w:type="dxa"/>
        </w:trPr>
        <w:tc>
          <w:tcPr>
            <w:tcW w:w="0" w:type="auto"/>
            <w:tcBorders>
              <w:top w:val="single" w:color="auto" w:sz="12" w:space="0"/>
              <w:bottom w:val="single" w:color="auto" w:sz="12" w:space="0"/>
            </w:tcBorders>
            <w:vAlign w:val="center"/>
          </w:tcPr>
          <w:p w14:paraId="479C403B">
            <w:pPr>
              <w:spacing w:after="0" w:line="240" w:lineRule="auto"/>
              <w:jc w:val="center"/>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Biomarker</w:t>
            </w:r>
          </w:p>
        </w:tc>
        <w:tc>
          <w:tcPr>
            <w:tcW w:w="0" w:type="auto"/>
            <w:tcBorders>
              <w:top w:val="single" w:color="auto" w:sz="12" w:space="0"/>
              <w:bottom w:val="single" w:color="auto" w:sz="12" w:space="0"/>
            </w:tcBorders>
            <w:vAlign w:val="center"/>
          </w:tcPr>
          <w:p w14:paraId="5058FCF6">
            <w:pPr>
              <w:spacing w:after="0" w:line="240" w:lineRule="auto"/>
              <w:jc w:val="center"/>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Mild (≤3) (n=11)</w:t>
            </w:r>
          </w:p>
        </w:tc>
        <w:tc>
          <w:tcPr>
            <w:tcW w:w="0" w:type="auto"/>
            <w:tcBorders>
              <w:top w:val="single" w:color="auto" w:sz="12" w:space="0"/>
              <w:bottom w:val="single" w:color="auto" w:sz="12" w:space="0"/>
            </w:tcBorders>
            <w:vAlign w:val="center"/>
          </w:tcPr>
          <w:p w14:paraId="00ED47EE">
            <w:pPr>
              <w:spacing w:after="0" w:line="240" w:lineRule="auto"/>
              <w:jc w:val="center"/>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Moderate (4-7) (n=22)</w:t>
            </w:r>
          </w:p>
        </w:tc>
        <w:tc>
          <w:tcPr>
            <w:tcW w:w="0" w:type="auto"/>
            <w:tcBorders>
              <w:top w:val="single" w:color="auto" w:sz="12" w:space="0"/>
              <w:bottom w:val="single" w:color="auto" w:sz="12" w:space="0"/>
            </w:tcBorders>
            <w:vAlign w:val="center"/>
          </w:tcPr>
          <w:p w14:paraId="29ED31C8">
            <w:pPr>
              <w:spacing w:after="0" w:line="240" w:lineRule="auto"/>
              <w:jc w:val="center"/>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Severe (8-12) (n=27)</w:t>
            </w:r>
          </w:p>
        </w:tc>
        <w:tc>
          <w:tcPr>
            <w:tcW w:w="0" w:type="auto"/>
            <w:tcBorders>
              <w:top w:val="single" w:color="auto" w:sz="12" w:space="0"/>
              <w:bottom w:val="single" w:color="auto" w:sz="12" w:space="0"/>
            </w:tcBorders>
            <w:vAlign w:val="center"/>
          </w:tcPr>
          <w:p w14:paraId="0B9B819B">
            <w:pPr>
              <w:spacing w:after="0" w:line="240" w:lineRule="auto"/>
              <w:jc w:val="center"/>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p-value</w:t>
            </w:r>
          </w:p>
        </w:tc>
      </w:tr>
      <w:tr w14:paraId="3D375C03">
        <w:tblPrEx>
          <w:tblCellMar>
            <w:top w:w="15" w:type="dxa"/>
            <w:left w:w="15" w:type="dxa"/>
            <w:bottom w:w="15" w:type="dxa"/>
            <w:right w:w="15" w:type="dxa"/>
          </w:tblCellMar>
        </w:tblPrEx>
        <w:trPr>
          <w:tblCellSpacing w:w="15" w:type="dxa"/>
        </w:trPr>
        <w:tc>
          <w:tcPr>
            <w:tcW w:w="0" w:type="auto"/>
            <w:vAlign w:val="center"/>
          </w:tcPr>
          <w:p w14:paraId="7480BC5C">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CRP (mg/L)</w:t>
            </w:r>
          </w:p>
        </w:tc>
        <w:tc>
          <w:tcPr>
            <w:tcW w:w="0" w:type="auto"/>
            <w:vAlign w:val="center"/>
          </w:tcPr>
          <w:p w14:paraId="09C70E5C">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13.24±26.29</w:t>
            </w:r>
          </w:p>
        </w:tc>
        <w:tc>
          <w:tcPr>
            <w:tcW w:w="0" w:type="auto"/>
            <w:vAlign w:val="center"/>
          </w:tcPr>
          <w:p w14:paraId="347E997E">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34.88±22.28</w:t>
            </w:r>
          </w:p>
        </w:tc>
        <w:tc>
          <w:tcPr>
            <w:tcW w:w="0" w:type="auto"/>
            <w:vAlign w:val="center"/>
          </w:tcPr>
          <w:p w14:paraId="77D347D8">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66.32±52.95</w:t>
            </w:r>
          </w:p>
        </w:tc>
        <w:tc>
          <w:tcPr>
            <w:tcW w:w="0" w:type="auto"/>
            <w:vAlign w:val="center"/>
          </w:tcPr>
          <w:p w14:paraId="7F7817D6">
            <w:pPr>
              <w:spacing w:after="0" w:line="240" w:lineRule="auto"/>
              <w:rPr>
                <w:rFonts w:ascii="Times New Roman" w:hAnsi="Times New Roman" w:eastAsia="Times New Roman" w:cs="Times New Roman"/>
                <w:b/>
                <w:bCs/>
                <w:color w:val="FF0000"/>
                <w:sz w:val="24"/>
                <w:szCs w:val="24"/>
                <w:lang w:val="en-US"/>
              </w:rPr>
            </w:pPr>
            <w:r>
              <w:rPr>
                <w:rFonts w:ascii="Times New Roman" w:hAnsi="Times New Roman" w:eastAsia="Times New Roman" w:cs="Times New Roman"/>
                <w:b/>
                <w:bCs/>
                <w:color w:val="FF0000"/>
                <w:sz w:val="24"/>
                <w:szCs w:val="24"/>
                <w:lang w:val="en-US"/>
              </w:rPr>
              <w:t>0.001*</w:t>
            </w:r>
          </w:p>
        </w:tc>
      </w:tr>
      <w:tr w14:paraId="2ED935A4">
        <w:tblPrEx>
          <w:tblCellMar>
            <w:top w:w="15" w:type="dxa"/>
            <w:left w:w="15" w:type="dxa"/>
            <w:bottom w:w="15" w:type="dxa"/>
            <w:right w:w="15" w:type="dxa"/>
          </w:tblCellMar>
        </w:tblPrEx>
        <w:trPr>
          <w:tblCellSpacing w:w="15" w:type="dxa"/>
        </w:trPr>
        <w:tc>
          <w:tcPr>
            <w:tcW w:w="0" w:type="auto"/>
            <w:vAlign w:val="center"/>
          </w:tcPr>
          <w:p w14:paraId="0FD1AEE4">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Neutrophils CD64-FITC</w:t>
            </w:r>
          </w:p>
        </w:tc>
        <w:tc>
          <w:tcPr>
            <w:tcW w:w="0" w:type="auto"/>
            <w:vAlign w:val="center"/>
          </w:tcPr>
          <w:p w14:paraId="7A2F2576">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581.86±270.37</w:t>
            </w:r>
          </w:p>
        </w:tc>
        <w:tc>
          <w:tcPr>
            <w:tcW w:w="0" w:type="auto"/>
            <w:vAlign w:val="center"/>
          </w:tcPr>
          <w:p w14:paraId="7DBD0864">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651.04±172.41</w:t>
            </w:r>
          </w:p>
        </w:tc>
        <w:tc>
          <w:tcPr>
            <w:tcW w:w="0" w:type="auto"/>
            <w:vAlign w:val="center"/>
          </w:tcPr>
          <w:p w14:paraId="57F7CD27">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771.74±419.85</w:t>
            </w:r>
          </w:p>
        </w:tc>
        <w:tc>
          <w:tcPr>
            <w:tcW w:w="0" w:type="auto"/>
            <w:vAlign w:val="center"/>
          </w:tcPr>
          <w:p w14:paraId="58862F80">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0.203</w:t>
            </w:r>
          </w:p>
        </w:tc>
      </w:tr>
      <w:tr w14:paraId="6EE3E852">
        <w:tblPrEx>
          <w:tblCellMar>
            <w:top w:w="15" w:type="dxa"/>
            <w:left w:w="15" w:type="dxa"/>
            <w:bottom w:w="15" w:type="dxa"/>
            <w:right w:w="15" w:type="dxa"/>
          </w:tblCellMar>
        </w:tblPrEx>
        <w:trPr>
          <w:tblCellSpacing w:w="15" w:type="dxa"/>
        </w:trPr>
        <w:tc>
          <w:tcPr>
            <w:tcW w:w="0" w:type="auto"/>
            <w:vAlign w:val="center"/>
          </w:tcPr>
          <w:p w14:paraId="5DEB9CE2">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Neutrophils/Monocytes CD64 ratio</w:t>
            </w:r>
          </w:p>
        </w:tc>
        <w:tc>
          <w:tcPr>
            <w:tcW w:w="0" w:type="auto"/>
            <w:vAlign w:val="center"/>
          </w:tcPr>
          <w:p w14:paraId="32EE6ECE">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0.49±0.27</w:t>
            </w:r>
          </w:p>
        </w:tc>
        <w:tc>
          <w:tcPr>
            <w:tcW w:w="0" w:type="auto"/>
            <w:vAlign w:val="center"/>
          </w:tcPr>
          <w:p w14:paraId="001DB379">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0.81±0.54</w:t>
            </w:r>
          </w:p>
        </w:tc>
        <w:tc>
          <w:tcPr>
            <w:tcW w:w="0" w:type="auto"/>
            <w:vAlign w:val="center"/>
          </w:tcPr>
          <w:p w14:paraId="0E7AEC3F">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1.41±1.70</w:t>
            </w:r>
          </w:p>
        </w:tc>
        <w:tc>
          <w:tcPr>
            <w:tcW w:w="0" w:type="auto"/>
            <w:vAlign w:val="center"/>
          </w:tcPr>
          <w:p w14:paraId="1CC5E4B6">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0.066</w:t>
            </w:r>
          </w:p>
        </w:tc>
      </w:tr>
      <w:tr w14:paraId="5E59F3EB">
        <w:tblPrEx>
          <w:tblCellMar>
            <w:top w:w="15" w:type="dxa"/>
            <w:left w:w="15" w:type="dxa"/>
            <w:bottom w:w="15" w:type="dxa"/>
            <w:right w:w="15" w:type="dxa"/>
          </w:tblCellMar>
        </w:tblPrEx>
        <w:trPr>
          <w:tblCellSpacing w:w="15" w:type="dxa"/>
        </w:trPr>
        <w:tc>
          <w:tcPr>
            <w:tcW w:w="0" w:type="auto"/>
            <w:vAlign w:val="center"/>
          </w:tcPr>
          <w:p w14:paraId="38548BC6">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Neutrophils/Lymphocytes CD64 ratio</w:t>
            </w:r>
          </w:p>
        </w:tc>
        <w:tc>
          <w:tcPr>
            <w:tcW w:w="0" w:type="auto"/>
            <w:vAlign w:val="center"/>
          </w:tcPr>
          <w:p w14:paraId="1E82F9AF">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18.53±23.08</w:t>
            </w:r>
          </w:p>
        </w:tc>
        <w:tc>
          <w:tcPr>
            <w:tcW w:w="0" w:type="auto"/>
            <w:vAlign w:val="center"/>
          </w:tcPr>
          <w:p w14:paraId="21B15E61">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25.87±17.04</w:t>
            </w:r>
          </w:p>
        </w:tc>
        <w:tc>
          <w:tcPr>
            <w:tcW w:w="0" w:type="auto"/>
            <w:vAlign w:val="center"/>
          </w:tcPr>
          <w:p w14:paraId="2C7E84BC">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33.70±33.80</w:t>
            </w:r>
          </w:p>
        </w:tc>
        <w:tc>
          <w:tcPr>
            <w:tcW w:w="0" w:type="auto"/>
            <w:vAlign w:val="center"/>
          </w:tcPr>
          <w:p w14:paraId="0CB6DD71">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0.265</w:t>
            </w:r>
          </w:p>
        </w:tc>
      </w:tr>
    </w:tbl>
    <w:p w14:paraId="3BEF5D3B">
      <w:pPr>
        <w:spacing w:before="100" w:beforeAutospacing="1" w:after="100" w:afterAutospacing="1"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CRP: C-reactive protein; CD64: cluster of differentiation 64; FITC: fluorescein isothiocyanate;  ICU: intensive care unit.</w:t>
      </w:r>
    </w:p>
    <w:p w14:paraId="68D8789F">
      <w:pPr>
        <w:spacing w:before="100" w:beforeAutospacing="1" w:after="100" w:afterAutospacing="1"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P-values were calculated using Student's t-test for two-group comparisons and one-way ANOVA for multiple group comparisons. P&lt;0.05 was considered statistically significant.</w:t>
      </w:r>
    </w:p>
    <w:p w14:paraId="539863F2">
      <w:pPr>
        <w:spacing w:after="200" w:line="480" w:lineRule="auto"/>
        <w:jc w:val="both"/>
        <w:rPr>
          <w:rFonts w:asciiTheme="majorBidi" w:hAnsiTheme="majorBidi" w:cstheme="majorBidi"/>
          <w:sz w:val="24"/>
          <w:szCs w:val="24"/>
          <w:lang w:val="en-US"/>
        </w:rPr>
      </w:pPr>
    </w:p>
    <w:p w14:paraId="183F223E">
      <w:pPr>
        <w:spacing w:after="200" w:line="480" w:lineRule="auto"/>
        <w:jc w:val="both"/>
        <w:rPr>
          <w:rFonts w:asciiTheme="majorBidi" w:hAnsiTheme="majorBidi" w:cstheme="majorBidi"/>
          <w:sz w:val="24"/>
          <w:szCs w:val="24"/>
          <w:lang w:val="en-US"/>
        </w:rPr>
      </w:pPr>
    </w:p>
    <w:p w14:paraId="49116A82">
      <w:pPr>
        <w:spacing w:after="200" w:line="480" w:lineRule="auto"/>
        <w:jc w:val="both"/>
        <w:rPr>
          <w:rFonts w:asciiTheme="majorBidi" w:hAnsiTheme="majorBidi" w:cstheme="majorBidi"/>
          <w:sz w:val="24"/>
          <w:szCs w:val="24"/>
          <w:lang w:val="en-US"/>
        </w:rPr>
      </w:pPr>
    </w:p>
    <w:p w14:paraId="3C2FC9BB">
      <w:pPr>
        <w:spacing w:after="20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Table </w:t>
      </w:r>
      <w:r>
        <w:rPr>
          <w:rFonts w:hint="default" w:asciiTheme="majorBidi" w:hAnsiTheme="majorBidi" w:cstheme="majorBidi"/>
          <w:sz w:val="24"/>
          <w:szCs w:val="24"/>
          <w:lang w:val="en-US"/>
        </w:rPr>
        <w:t>4</w:t>
      </w:r>
      <w:r>
        <w:rPr>
          <w:rFonts w:asciiTheme="majorBidi" w:hAnsiTheme="majorBidi" w:cstheme="majorBidi"/>
          <w:sz w:val="24"/>
          <w:szCs w:val="24"/>
          <w:lang w:val="en-US"/>
        </w:rPr>
        <w:t xml:space="preserve"> demonstrates strong intercorrelations among all biomarkers in both pneumonia cases and the entire study population. CRP showed the strongest correlations with other inflammatory markers, particularly with  neutrophil/lymphocyte CD64 ratio (r=0.724 in cases, r=0.791 in total population). Notably,  with CRP showing the strongest inverse relationship (r=-0.738 in cases). The correlations were generally stronger in the entire study population, likely due to the wider range of values when including healthy controls.</w:t>
      </w:r>
    </w:p>
    <w:p w14:paraId="105ACFDF">
      <w:pPr>
        <w:spacing w:before="100" w:beforeAutospacing="1" w:after="100" w:afterAutospacing="1" w:line="240" w:lineRule="auto"/>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 xml:space="preserve">Table </w:t>
      </w:r>
      <w:r>
        <w:rPr>
          <w:rFonts w:hint="default" w:ascii="Times New Roman" w:hAnsi="Times New Roman" w:eastAsia="Times New Roman" w:cs="Times New Roman"/>
          <w:b/>
          <w:bCs/>
          <w:sz w:val="24"/>
          <w:szCs w:val="24"/>
          <w:lang w:val="en-US"/>
        </w:rPr>
        <w:t>4</w:t>
      </w:r>
      <w:r>
        <w:rPr>
          <w:rFonts w:ascii="Times New Roman" w:hAnsi="Times New Roman" w:eastAsia="Times New Roman" w:cs="Times New Roman"/>
          <w:b/>
          <w:bCs/>
          <w:sz w:val="24"/>
          <w:szCs w:val="24"/>
          <w:lang w:val="en-US"/>
        </w:rPr>
        <w:t>. Correlations among Biomarkers in Pediatric Pneumonia Cases and Entire Study Population</w:t>
      </w:r>
    </w:p>
    <w:tbl>
      <w:tblPr>
        <w:tblStyle w:val="8"/>
        <w:tblW w:w="0" w:type="auto"/>
        <w:tblCellSpacing w:w="15" w:type="dxa"/>
        <w:tblInd w:w="0" w:type="dxa"/>
        <w:tblLayout w:type="autofit"/>
        <w:tblCellMar>
          <w:top w:w="15" w:type="dxa"/>
          <w:left w:w="15" w:type="dxa"/>
          <w:bottom w:w="15" w:type="dxa"/>
          <w:right w:w="15" w:type="dxa"/>
        </w:tblCellMar>
      </w:tblPr>
      <w:tblGrid>
        <w:gridCol w:w="4619"/>
        <w:gridCol w:w="1290"/>
        <w:gridCol w:w="1381"/>
        <w:gridCol w:w="1409"/>
        <w:gridCol w:w="751"/>
      </w:tblGrid>
      <w:tr w14:paraId="1DD4D47E">
        <w:tblPrEx>
          <w:tblCellMar>
            <w:top w:w="15" w:type="dxa"/>
            <w:left w:w="15" w:type="dxa"/>
            <w:bottom w:w="15" w:type="dxa"/>
            <w:right w:w="15" w:type="dxa"/>
          </w:tblCellMar>
        </w:tblPrEx>
        <w:trPr>
          <w:tblHeader/>
          <w:tblCellSpacing w:w="15" w:type="dxa"/>
        </w:trPr>
        <w:tc>
          <w:tcPr>
            <w:tcW w:w="0" w:type="auto"/>
            <w:tcBorders>
              <w:top w:val="single" w:color="auto" w:sz="12" w:space="0"/>
              <w:bottom w:val="single" w:color="auto" w:sz="12" w:space="0"/>
            </w:tcBorders>
            <w:vAlign w:val="center"/>
          </w:tcPr>
          <w:p w14:paraId="06E555B0">
            <w:pPr>
              <w:spacing w:after="0" w:line="240" w:lineRule="auto"/>
              <w:jc w:val="center"/>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Biomarker Pairs</w:t>
            </w:r>
          </w:p>
        </w:tc>
        <w:tc>
          <w:tcPr>
            <w:tcW w:w="0" w:type="auto"/>
            <w:tcBorders>
              <w:top w:val="single" w:color="auto" w:sz="12" w:space="0"/>
              <w:bottom w:val="single" w:color="auto" w:sz="12" w:space="0"/>
            </w:tcBorders>
            <w:vAlign w:val="center"/>
          </w:tcPr>
          <w:p w14:paraId="2714F2D7">
            <w:pPr>
              <w:spacing w:after="0" w:line="240" w:lineRule="auto"/>
              <w:jc w:val="center"/>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Cases Only (n=60)</w:t>
            </w:r>
          </w:p>
        </w:tc>
        <w:tc>
          <w:tcPr>
            <w:tcW w:w="1351" w:type="dxa"/>
            <w:tcBorders>
              <w:top w:val="single" w:color="auto" w:sz="12" w:space="0"/>
              <w:bottom w:val="single" w:color="auto" w:sz="12" w:space="0"/>
            </w:tcBorders>
            <w:vAlign w:val="center"/>
          </w:tcPr>
          <w:p w14:paraId="69B4FAE5">
            <w:pPr>
              <w:spacing w:after="0" w:line="240" w:lineRule="auto"/>
              <w:jc w:val="center"/>
              <w:rPr>
                <w:rFonts w:ascii="Times New Roman" w:hAnsi="Times New Roman" w:eastAsia="Times New Roman" w:cs="Times New Roman"/>
                <w:b/>
                <w:bCs/>
                <w:sz w:val="24"/>
                <w:szCs w:val="24"/>
                <w:lang w:val="en-US"/>
              </w:rPr>
            </w:pPr>
          </w:p>
        </w:tc>
        <w:tc>
          <w:tcPr>
            <w:tcW w:w="1379" w:type="dxa"/>
            <w:tcBorders>
              <w:top w:val="single" w:color="auto" w:sz="12" w:space="0"/>
              <w:bottom w:val="single" w:color="auto" w:sz="12" w:space="0"/>
            </w:tcBorders>
            <w:vAlign w:val="center"/>
          </w:tcPr>
          <w:p w14:paraId="5F0A0665">
            <w:pPr>
              <w:spacing w:after="0" w:line="240" w:lineRule="auto"/>
              <w:jc w:val="center"/>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Entire Study Population (n=120)</w:t>
            </w:r>
          </w:p>
        </w:tc>
        <w:tc>
          <w:tcPr>
            <w:tcW w:w="0" w:type="auto"/>
            <w:tcBorders>
              <w:top w:val="single" w:color="auto" w:sz="12" w:space="0"/>
              <w:bottom w:val="single" w:color="auto" w:sz="12" w:space="0"/>
            </w:tcBorders>
            <w:vAlign w:val="center"/>
          </w:tcPr>
          <w:p w14:paraId="1EA43D6A">
            <w:pPr>
              <w:spacing w:after="0" w:line="240" w:lineRule="auto"/>
              <w:jc w:val="center"/>
              <w:rPr>
                <w:rFonts w:ascii="Times New Roman" w:hAnsi="Times New Roman" w:eastAsia="Times New Roman" w:cs="Times New Roman"/>
                <w:b/>
                <w:bCs/>
                <w:sz w:val="24"/>
                <w:szCs w:val="24"/>
                <w:lang w:val="en-US"/>
              </w:rPr>
            </w:pPr>
          </w:p>
        </w:tc>
      </w:tr>
      <w:tr w14:paraId="75F5DB42">
        <w:tblPrEx>
          <w:tblCellMar>
            <w:top w:w="15" w:type="dxa"/>
            <w:left w:w="15" w:type="dxa"/>
            <w:bottom w:w="15" w:type="dxa"/>
            <w:right w:w="15" w:type="dxa"/>
          </w:tblCellMar>
        </w:tblPrEx>
        <w:trPr>
          <w:tblCellSpacing w:w="15" w:type="dxa"/>
        </w:trPr>
        <w:tc>
          <w:tcPr>
            <w:tcW w:w="0" w:type="auto"/>
            <w:vAlign w:val="center"/>
          </w:tcPr>
          <w:p w14:paraId="08E8961B">
            <w:pPr>
              <w:spacing w:after="0" w:line="240" w:lineRule="auto"/>
              <w:jc w:val="center"/>
              <w:rPr>
                <w:rFonts w:ascii="Times New Roman" w:hAnsi="Times New Roman" w:eastAsia="Times New Roman" w:cs="Times New Roman"/>
                <w:sz w:val="20"/>
                <w:szCs w:val="20"/>
                <w:lang w:val="en-US"/>
              </w:rPr>
            </w:pPr>
          </w:p>
        </w:tc>
        <w:tc>
          <w:tcPr>
            <w:tcW w:w="0" w:type="auto"/>
            <w:vAlign w:val="center"/>
          </w:tcPr>
          <w:p w14:paraId="5DD3435A">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r</w:t>
            </w:r>
          </w:p>
        </w:tc>
        <w:tc>
          <w:tcPr>
            <w:tcW w:w="1351" w:type="dxa"/>
            <w:vAlign w:val="center"/>
          </w:tcPr>
          <w:p w14:paraId="0CCBC0B8">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p</w:t>
            </w:r>
          </w:p>
        </w:tc>
        <w:tc>
          <w:tcPr>
            <w:tcW w:w="1379" w:type="dxa"/>
            <w:vAlign w:val="center"/>
          </w:tcPr>
          <w:p w14:paraId="7FAD1155">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r</w:t>
            </w:r>
          </w:p>
        </w:tc>
        <w:tc>
          <w:tcPr>
            <w:tcW w:w="0" w:type="auto"/>
            <w:vAlign w:val="center"/>
          </w:tcPr>
          <w:p w14:paraId="2D7ED674">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p</w:t>
            </w:r>
          </w:p>
        </w:tc>
      </w:tr>
      <w:tr w14:paraId="536BF2A2">
        <w:tblPrEx>
          <w:tblCellMar>
            <w:top w:w="15" w:type="dxa"/>
            <w:left w:w="15" w:type="dxa"/>
            <w:bottom w:w="15" w:type="dxa"/>
            <w:right w:w="15" w:type="dxa"/>
          </w:tblCellMar>
        </w:tblPrEx>
        <w:trPr>
          <w:tblCellSpacing w:w="15" w:type="dxa"/>
        </w:trPr>
        <w:tc>
          <w:tcPr>
            <w:tcW w:w="0" w:type="auto"/>
            <w:vAlign w:val="center"/>
          </w:tcPr>
          <w:p w14:paraId="73E958E0">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CRP correlations</w:t>
            </w:r>
          </w:p>
        </w:tc>
        <w:tc>
          <w:tcPr>
            <w:tcW w:w="0" w:type="auto"/>
            <w:vAlign w:val="center"/>
          </w:tcPr>
          <w:p w14:paraId="5A038AC6">
            <w:pPr>
              <w:spacing w:after="0" w:line="240" w:lineRule="auto"/>
              <w:jc w:val="center"/>
              <w:rPr>
                <w:rFonts w:ascii="Times New Roman" w:hAnsi="Times New Roman" w:eastAsia="Times New Roman" w:cs="Times New Roman"/>
                <w:sz w:val="24"/>
                <w:szCs w:val="24"/>
                <w:lang w:val="en-US"/>
              </w:rPr>
            </w:pPr>
          </w:p>
        </w:tc>
        <w:tc>
          <w:tcPr>
            <w:tcW w:w="1351" w:type="dxa"/>
            <w:vAlign w:val="center"/>
          </w:tcPr>
          <w:p w14:paraId="54EFC271">
            <w:pPr>
              <w:spacing w:after="0" w:line="240" w:lineRule="auto"/>
              <w:jc w:val="center"/>
              <w:rPr>
                <w:rFonts w:ascii="Times New Roman" w:hAnsi="Times New Roman" w:eastAsia="Times New Roman" w:cs="Times New Roman"/>
                <w:sz w:val="20"/>
                <w:szCs w:val="20"/>
                <w:lang w:val="en-US"/>
              </w:rPr>
            </w:pPr>
          </w:p>
        </w:tc>
        <w:tc>
          <w:tcPr>
            <w:tcW w:w="1379" w:type="dxa"/>
            <w:vAlign w:val="center"/>
          </w:tcPr>
          <w:p w14:paraId="0D035434">
            <w:pPr>
              <w:spacing w:after="0" w:line="240" w:lineRule="auto"/>
              <w:jc w:val="center"/>
              <w:rPr>
                <w:rFonts w:ascii="Times New Roman" w:hAnsi="Times New Roman" w:eastAsia="Times New Roman" w:cs="Times New Roman"/>
                <w:sz w:val="20"/>
                <w:szCs w:val="20"/>
                <w:lang w:val="en-US"/>
              </w:rPr>
            </w:pPr>
          </w:p>
        </w:tc>
        <w:tc>
          <w:tcPr>
            <w:tcW w:w="0" w:type="auto"/>
            <w:vAlign w:val="center"/>
          </w:tcPr>
          <w:p w14:paraId="53C1F8A0">
            <w:pPr>
              <w:spacing w:after="0" w:line="240" w:lineRule="auto"/>
              <w:jc w:val="center"/>
              <w:rPr>
                <w:rFonts w:ascii="Times New Roman" w:hAnsi="Times New Roman" w:eastAsia="Times New Roman" w:cs="Times New Roman"/>
                <w:sz w:val="20"/>
                <w:szCs w:val="20"/>
                <w:lang w:val="en-US"/>
              </w:rPr>
            </w:pPr>
          </w:p>
        </w:tc>
      </w:tr>
      <w:tr w14:paraId="3D3DF143">
        <w:tblPrEx>
          <w:tblCellMar>
            <w:top w:w="15" w:type="dxa"/>
            <w:left w:w="15" w:type="dxa"/>
            <w:bottom w:w="15" w:type="dxa"/>
            <w:right w:w="15" w:type="dxa"/>
          </w:tblCellMar>
        </w:tblPrEx>
        <w:trPr>
          <w:tblCellSpacing w:w="15" w:type="dxa"/>
        </w:trPr>
        <w:tc>
          <w:tcPr>
            <w:tcW w:w="0" w:type="auto"/>
            <w:vAlign w:val="center"/>
          </w:tcPr>
          <w:p w14:paraId="6F4808E4">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CRP and Neutrophils CD64-FITC</w:t>
            </w:r>
          </w:p>
        </w:tc>
        <w:tc>
          <w:tcPr>
            <w:tcW w:w="0" w:type="auto"/>
            <w:vAlign w:val="center"/>
          </w:tcPr>
          <w:p w14:paraId="3989FD14">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0.667**</w:t>
            </w:r>
          </w:p>
        </w:tc>
        <w:tc>
          <w:tcPr>
            <w:tcW w:w="1351" w:type="dxa"/>
            <w:vAlign w:val="center"/>
          </w:tcPr>
          <w:p w14:paraId="7DBEB19E">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&lt;0.001</w:t>
            </w:r>
          </w:p>
        </w:tc>
        <w:tc>
          <w:tcPr>
            <w:tcW w:w="1379" w:type="dxa"/>
            <w:vAlign w:val="center"/>
          </w:tcPr>
          <w:p w14:paraId="17B0F3EF">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0.760**</w:t>
            </w:r>
          </w:p>
        </w:tc>
        <w:tc>
          <w:tcPr>
            <w:tcW w:w="0" w:type="auto"/>
            <w:vAlign w:val="center"/>
          </w:tcPr>
          <w:p w14:paraId="7A8AE346">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&lt;0.001</w:t>
            </w:r>
          </w:p>
        </w:tc>
      </w:tr>
      <w:tr w14:paraId="0A3D94C5">
        <w:tblPrEx>
          <w:tblCellMar>
            <w:top w:w="15" w:type="dxa"/>
            <w:left w:w="15" w:type="dxa"/>
            <w:bottom w:w="15" w:type="dxa"/>
            <w:right w:w="15" w:type="dxa"/>
          </w:tblCellMar>
        </w:tblPrEx>
        <w:trPr>
          <w:tblCellSpacing w:w="15" w:type="dxa"/>
        </w:trPr>
        <w:tc>
          <w:tcPr>
            <w:tcW w:w="0" w:type="auto"/>
            <w:vAlign w:val="center"/>
          </w:tcPr>
          <w:p w14:paraId="0C5D627F">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CRP and Neutrophils/Monocytes CD64 ratio</w:t>
            </w:r>
          </w:p>
        </w:tc>
        <w:tc>
          <w:tcPr>
            <w:tcW w:w="0" w:type="auto"/>
            <w:vAlign w:val="center"/>
          </w:tcPr>
          <w:p w14:paraId="75985CBA">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0.642**</w:t>
            </w:r>
          </w:p>
        </w:tc>
        <w:tc>
          <w:tcPr>
            <w:tcW w:w="1351" w:type="dxa"/>
            <w:vAlign w:val="center"/>
          </w:tcPr>
          <w:p w14:paraId="712A4D6B">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&lt;0.001</w:t>
            </w:r>
          </w:p>
        </w:tc>
        <w:tc>
          <w:tcPr>
            <w:tcW w:w="1379" w:type="dxa"/>
            <w:vAlign w:val="center"/>
          </w:tcPr>
          <w:p w14:paraId="7EE8F9D4">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0.687**</w:t>
            </w:r>
          </w:p>
        </w:tc>
        <w:tc>
          <w:tcPr>
            <w:tcW w:w="0" w:type="auto"/>
            <w:vAlign w:val="center"/>
          </w:tcPr>
          <w:p w14:paraId="4AC532E0">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&lt;0.001</w:t>
            </w:r>
          </w:p>
        </w:tc>
      </w:tr>
      <w:tr w14:paraId="2F7619E5">
        <w:tblPrEx>
          <w:tblCellMar>
            <w:top w:w="15" w:type="dxa"/>
            <w:left w:w="15" w:type="dxa"/>
            <w:bottom w:w="15" w:type="dxa"/>
            <w:right w:w="15" w:type="dxa"/>
          </w:tblCellMar>
        </w:tblPrEx>
        <w:trPr>
          <w:tblCellSpacing w:w="15" w:type="dxa"/>
        </w:trPr>
        <w:tc>
          <w:tcPr>
            <w:tcW w:w="0" w:type="auto"/>
            <w:vAlign w:val="center"/>
          </w:tcPr>
          <w:p w14:paraId="7780F16D">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CRP and Neutrophils/Lymphocytes CD64 ratio</w:t>
            </w:r>
          </w:p>
        </w:tc>
        <w:tc>
          <w:tcPr>
            <w:tcW w:w="0" w:type="auto"/>
            <w:vAlign w:val="center"/>
          </w:tcPr>
          <w:p w14:paraId="28BAD4B7">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0.724**</w:t>
            </w:r>
          </w:p>
        </w:tc>
        <w:tc>
          <w:tcPr>
            <w:tcW w:w="1351" w:type="dxa"/>
            <w:vAlign w:val="center"/>
          </w:tcPr>
          <w:p w14:paraId="227F3C89">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&lt;0.001</w:t>
            </w:r>
          </w:p>
        </w:tc>
        <w:tc>
          <w:tcPr>
            <w:tcW w:w="1379" w:type="dxa"/>
            <w:vAlign w:val="center"/>
          </w:tcPr>
          <w:p w14:paraId="06421543">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0.791**</w:t>
            </w:r>
          </w:p>
        </w:tc>
        <w:tc>
          <w:tcPr>
            <w:tcW w:w="0" w:type="auto"/>
            <w:vAlign w:val="center"/>
          </w:tcPr>
          <w:p w14:paraId="30365560">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&lt;0.001</w:t>
            </w:r>
          </w:p>
        </w:tc>
      </w:tr>
      <w:tr w14:paraId="0571573E">
        <w:tblPrEx>
          <w:tblCellMar>
            <w:top w:w="15" w:type="dxa"/>
            <w:left w:w="15" w:type="dxa"/>
            <w:bottom w:w="15" w:type="dxa"/>
            <w:right w:w="15" w:type="dxa"/>
          </w:tblCellMar>
        </w:tblPrEx>
        <w:trPr>
          <w:tblCellSpacing w:w="15" w:type="dxa"/>
        </w:trPr>
        <w:tc>
          <w:tcPr>
            <w:tcW w:w="0" w:type="auto"/>
            <w:vAlign w:val="center"/>
          </w:tcPr>
          <w:p w14:paraId="60CC2DBF">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Neutrophils CD64-FITC correlations</w:t>
            </w:r>
          </w:p>
        </w:tc>
        <w:tc>
          <w:tcPr>
            <w:tcW w:w="0" w:type="auto"/>
            <w:vAlign w:val="center"/>
          </w:tcPr>
          <w:p w14:paraId="1403E423">
            <w:pPr>
              <w:spacing w:after="0" w:line="240" w:lineRule="auto"/>
              <w:jc w:val="center"/>
              <w:rPr>
                <w:rFonts w:ascii="Times New Roman" w:hAnsi="Times New Roman" w:eastAsia="Times New Roman" w:cs="Times New Roman"/>
                <w:sz w:val="24"/>
                <w:szCs w:val="24"/>
                <w:lang w:val="en-US"/>
              </w:rPr>
            </w:pPr>
          </w:p>
        </w:tc>
        <w:tc>
          <w:tcPr>
            <w:tcW w:w="1351" w:type="dxa"/>
            <w:vAlign w:val="center"/>
          </w:tcPr>
          <w:p w14:paraId="7453CDD5">
            <w:pPr>
              <w:spacing w:after="0" w:line="240" w:lineRule="auto"/>
              <w:jc w:val="center"/>
              <w:rPr>
                <w:rFonts w:ascii="Times New Roman" w:hAnsi="Times New Roman" w:eastAsia="Times New Roman" w:cs="Times New Roman"/>
                <w:sz w:val="20"/>
                <w:szCs w:val="20"/>
                <w:lang w:val="en-US"/>
              </w:rPr>
            </w:pPr>
          </w:p>
        </w:tc>
        <w:tc>
          <w:tcPr>
            <w:tcW w:w="1379" w:type="dxa"/>
            <w:vAlign w:val="center"/>
          </w:tcPr>
          <w:p w14:paraId="4E0C4A48">
            <w:pPr>
              <w:spacing w:after="0" w:line="240" w:lineRule="auto"/>
              <w:jc w:val="center"/>
              <w:rPr>
                <w:rFonts w:ascii="Times New Roman" w:hAnsi="Times New Roman" w:eastAsia="Times New Roman" w:cs="Times New Roman"/>
                <w:sz w:val="20"/>
                <w:szCs w:val="20"/>
                <w:lang w:val="en-US"/>
              </w:rPr>
            </w:pPr>
          </w:p>
        </w:tc>
        <w:tc>
          <w:tcPr>
            <w:tcW w:w="0" w:type="auto"/>
            <w:vAlign w:val="center"/>
          </w:tcPr>
          <w:p w14:paraId="488A8732">
            <w:pPr>
              <w:spacing w:after="0" w:line="240" w:lineRule="auto"/>
              <w:jc w:val="center"/>
              <w:rPr>
                <w:rFonts w:ascii="Times New Roman" w:hAnsi="Times New Roman" w:eastAsia="Times New Roman" w:cs="Times New Roman"/>
                <w:sz w:val="20"/>
                <w:szCs w:val="20"/>
                <w:lang w:val="en-US"/>
              </w:rPr>
            </w:pPr>
          </w:p>
        </w:tc>
      </w:tr>
      <w:tr w14:paraId="1421AB19">
        <w:tblPrEx>
          <w:tblCellMar>
            <w:top w:w="15" w:type="dxa"/>
            <w:left w:w="15" w:type="dxa"/>
            <w:bottom w:w="15" w:type="dxa"/>
            <w:right w:w="15" w:type="dxa"/>
          </w:tblCellMar>
        </w:tblPrEx>
        <w:trPr>
          <w:tblCellSpacing w:w="15" w:type="dxa"/>
        </w:trPr>
        <w:tc>
          <w:tcPr>
            <w:tcW w:w="0" w:type="auto"/>
            <w:vAlign w:val="center"/>
          </w:tcPr>
          <w:p w14:paraId="682CA356">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Neutrophils CD64-FITC and Neutrophils/Monocytes CD64 ratio</w:t>
            </w:r>
          </w:p>
        </w:tc>
        <w:tc>
          <w:tcPr>
            <w:tcW w:w="0" w:type="auto"/>
            <w:vAlign w:val="center"/>
          </w:tcPr>
          <w:p w14:paraId="138314D4">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0.681**</w:t>
            </w:r>
          </w:p>
        </w:tc>
        <w:tc>
          <w:tcPr>
            <w:tcW w:w="1351" w:type="dxa"/>
            <w:vAlign w:val="center"/>
          </w:tcPr>
          <w:p w14:paraId="26C2C2CA">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&lt;0.001</w:t>
            </w:r>
          </w:p>
        </w:tc>
        <w:tc>
          <w:tcPr>
            <w:tcW w:w="1379" w:type="dxa"/>
            <w:vAlign w:val="center"/>
          </w:tcPr>
          <w:p w14:paraId="18B77496">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0.724**</w:t>
            </w:r>
          </w:p>
        </w:tc>
        <w:tc>
          <w:tcPr>
            <w:tcW w:w="0" w:type="auto"/>
            <w:vAlign w:val="center"/>
          </w:tcPr>
          <w:p w14:paraId="5100509E">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&lt;0.001</w:t>
            </w:r>
          </w:p>
        </w:tc>
      </w:tr>
      <w:tr w14:paraId="05284623">
        <w:tblPrEx>
          <w:tblCellMar>
            <w:top w:w="15" w:type="dxa"/>
            <w:left w:w="15" w:type="dxa"/>
            <w:bottom w:w="15" w:type="dxa"/>
            <w:right w:w="15" w:type="dxa"/>
          </w:tblCellMar>
        </w:tblPrEx>
        <w:trPr>
          <w:tblCellSpacing w:w="15" w:type="dxa"/>
        </w:trPr>
        <w:tc>
          <w:tcPr>
            <w:tcW w:w="0" w:type="auto"/>
            <w:vAlign w:val="center"/>
          </w:tcPr>
          <w:p w14:paraId="6AAD8E8F">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Neutrophils CD64-FITC and Neutrophils/Lymphocytes CD64 ratio</w:t>
            </w:r>
          </w:p>
        </w:tc>
        <w:tc>
          <w:tcPr>
            <w:tcW w:w="0" w:type="auto"/>
            <w:vAlign w:val="center"/>
          </w:tcPr>
          <w:p w14:paraId="1F42F1CC">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0.544**</w:t>
            </w:r>
          </w:p>
        </w:tc>
        <w:tc>
          <w:tcPr>
            <w:tcW w:w="1351" w:type="dxa"/>
            <w:vAlign w:val="center"/>
          </w:tcPr>
          <w:p w14:paraId="6642DD86">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&lt;0.001</w:t>
            </w:r>
          </w:p>
        </w:tc>
        <w:tc>
          <w:tcPr>
            <w:tcW w:w="1379" w:type="dxa"/>
            <w:vAlign w:val="center"/>
          </w:tcPr>
          <w:p w14:paraId="2E394349">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0.679**</w:t>
            </w:r>
          </w:p>
        </w:tc>
        <w:tc>
          <w:tcPr>
            <w:tcW w:w="0" w:type="auto"/>
            <w:vAlign w:val="center"/>
          </w:tcPr>
          <w:p w14:paraId="65D706AF">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&lt;0.001</w:t>
            </w:r>
          </w:p>
        </w:tc>
      </w:tr>
      <w:tr w14:paraId="2014D568">
        <w:tblPrEx>
          <w:tblCellMar>
            <w:top w:w="15" w:type="dxa"/>
            <w:left w:w="15" w:type="dxa"/>
            <w:bottom w:w="15" w:type="dxa"/>
            <w:right w:w="15" w:type="dxa"/>
          </w:tblCellMar>
        </w:tblPrEx>
        <w:trPr>
          <w:tblCellSpacing w:w="15" w:type="dxa"/>
        </w:trPr>
        <w:tc>
          <w:tcPr>
            <w:tcW w:w="0" w:type="auto"/>
            <w:vAlign w:val="center"/>
          </w:tcPr>
          <w:p w14:paraId="75176907">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CD64 ratio correlations</w:t>
            </w:r>
          </w:p>
        </w:tc>
        <w:tc>
          <w:tcPr>
            <w:tcW w:w="0" w:type="auto"/>
            <w:vAlign w:val="center"/>
          </w:tcPr>
          <w:p w14:paraId="1E253A37">
            <w:pPr>
              <w:spacing w:after="0" w:line="240" w:lineRule="auto"/>
              <w:jc w:val="center"/>
              <w:rPr>
                <w:rFonts w:ascii="Times New Roman" w:hAnsi="Times New Roman" w:eastAsia="Times New Roman" w:cs="Times New Roman"/>
                <w:sz w:val="24"/>
                <w:szCs w:val="24"/>
                <w:lang w:val="en-US"/>
              </w:rPr>
            </w:pPr>
          </w:p>
        </w:tc>
        <w:tc>
          <w:tcPr>
            <w:tcW w:w="1351" w:type="dxa"/>
            <w:vAlign w:val="center"/>
          </w:tcPr>
          <w:p w14:paraId="15370F73">
            <w:pPr>
              <w:spacing w:after="0" w:line="240" w:lineRule="auto"/>
              <w:jc w:val="center"/>
              <w:rPr>
                <w:rFonts w:ascii="Times New Roman" w:hAnsi="Times New Roman" w:eastAsia="Times New Roman" w:cs="Times New Roman"/>
                <w:sz w:val="20"/>
                <w:szCs w:val="20"/>
                <w:lang w:val="en-US"/>
              </w:rPr>
            </w:pPr>
          </w:p>
        </w:tc>
        <w:tc>
          <w:tcPr>
            <w:tcW w:w="1379" w:type="dxa"/>
            <w:vAlign w:val="center"/>
          </w:tcPr>
          <w:p w14:paraId="7C585C7B">
            <w:pPr>
              <w:spacing w:after="0" w:line="240" w:lineRule="auto"/>
              <w:jc w:val="center"/>
              <w:rPr>
                <w:rFonts w:ascii="Times New Roman" w:hAnsi="Times New Roman" w:eastAsia="Times New Roman" w:cs="Times New Roman"/>
                <w:sz w:val="20"/>
                <w:szCs w:val="20"/>
                <w:lang w:val="en-US"/>
              </w:rPr>
            </w:pPr>
          </w:p>
        </w:tc>
        <w:tc>
          <w:tcPr>
            <w:tcW w:w="0" w:type="auto"/>
            <w:vAlign w:val="center"/>
          </w:tcPr>
          <w:p w14:paraId="64E0D33E">
            <w:pPr>
              <w:spacing w:after="0" w:line="240" w:lineRule="auto"/>
              <w:jc w:val="center"/>
              <w:rPr>
                <w:rFonts w:ascii="Times New Roman" w:hAnsi="Times New Roman" w:eastAsia="Times New Roman" w:cs="Times New Roman"/>
                <w:sz w:val="20"/>
                <w:szCs w:val="20"/>
                <w:lang w:val="en-US"/>
              </w:rPr>
            </w:pPr>
          </w:p>
        </w:tc>
      </w:tr>
      <w:tr w14:paraId="63440906">
        <w:tblPrEx>
          <w:tblCellMar>
            <w:top w:w="15" w:type="dxa"/>
            <w:left w:w="15" w:type="dxa"/>
            <w:bottom w:w="15" w:type="dxa"/>
            <w:right w:w="15" w:type="dxa"/>
          </w:tblCellMar>
        </w:tblPrEx>
        <w:trPr>
          <w:tblCellSpacing w:w="15" w:type="dxa"/>
        </w:trPr>
        <w:tc>
          <w:tcPr>
            <w:tcW w:w="0" w:type="auto"/>
            <w:vAlign w:val="center"/>
          </w:tcPr>
          <w:p w14:paraId="5A4BAF20">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Neutrophils/Monocytes CD64 ratio and Neutrophils/Lymphocytes CD64 ratio</w:t>
            </w:r>
          </w:p>
        </w:tc>
        <w:tc>
          <w:tcPr>
            <w:tcW w:w="0" w:type="auto"/>
            <w:vAlign w:val="center"/>
          </w:tcPr>
          <w:p w14:paraId="248A4F3F">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0.566**</w:t>
            </w:r>
          </w:p>
        </w:tc>
        <w:tc>
          <w:tcPr>
            <w:tcW w:w="1351" w:type="dxa"/>
            <w:vAlign w:val="center"/>
          </w:tcPr>
          <w:p w14:paraId="690ED796">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&lt;0.001</w:t>
            </w:r>
          </w:p>
        </w:tc>
        <w:tc>
          <w:tcPr>
            <w:tcW w:w="1379" w:type="dxa"/>
            <w:vAlign w:val="center"/>
          </w:tcPr>
          <w:p w14:paraId="79717C11">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0.643**</w:t>
            </w:r>
          </w:p>
        </w:tc>
        <w:tc>
          <w:tcPr>
            <w:tcW w:w="0" w:type="auto"/>
            <w:vAlign w:val="center"/>
          </w:tcPr>
          <w:p w14:paraId="11B18B92">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&lt;0.001</w:t>
            </w:r>
          </w:p>
        </w:tc>
      </w:tr>
    </w:tbl>
    <w:p w14:paraId="441B12BB">
      <w:pPr>
        <w:spacing w:before="100" w:beforeAutospacing="1" w:after="100" w:afterAutospacing="1"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CRP: C-reactive protein; CD64: cluster of differentiation 64; FITC: fluorescein isothiocyanate..</w:t>
      </w:r>
    </w:p>
    <w:p w14:paraId="5DAA6AD2">
      <w:pPr>
        <w:spacing w:before="100" w:beforeAutospacing="1" w:after="100" w:afterAutospacing="1"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**Correlation is significant at the 0.01 level (2-tailed). Pearson correlation coefficient was used for analysis.</w:t>
      </w:r>
    </w:p>
    <w:p w14:paraId="6DD0E0CA">
      <w:pPr>
        <w:spacing w:after="200" w:line="480" w:lineRule="auto"/>
        <w:jc w:val="both"/>
        <w:rPr>
          <w:rFonts w:asciiTheme="majorBidi" w:hAnsiTheme="majorBidi" w:cstheme="majorBidi"/>
          <w:sz w:val="24"/>
          <w:szCs w:val="24"/>
          <w:lang w:val="en-US"/>
        </w:rPr>
      </w:pPr>
    </w:p>
    <w:p w14:paraId="014C91CF">
      <w:pPr>
        <w:spacing w:after="200" w:line="480" w:lineRule="auto"/>
        <w:jc w:val="both"/>
        <w:rPr>
          <w:rFonts w:asciiTheme="majorBidi" w:hAnsiTheme="majorBidi" w:cstheme="majorBidi"/>
          <w:sz w:val="24"/>
          <w:szCs w:val="24"/>
          <w:lang w:val="en-US"/>
        </w:rPr>
      </w:pPr>
    </w:p>
    <w:p w14:paraId="71825F61">
      <w:pPr>
        <w:spacing w:after="200" w:line="480" w:lineRule="auto"/>
        <w:jc w:val="both"/>
        <w:rPr>
          <w:rFonts w:asciiTheme="majorBidi" w:hAnsiTheme="majorBidi" w:cstheme="majorBidi"/>
          <w:sz w:val="24"/>
          <w:szCs w:val="24"/>
          <w:lang w:val="en-US"/>
        </w:rPr>
      </w:pPr>
    </w:p>
    <w:p w14:paraId="3191FA63">
      <w:pPr>
        <w:spacing w:after="200" w:line="480" w:lineRule="auto"/>
        <w:jc w:val="both"/>
        <w:rPr>
          <w:rFonts w:asciiTheme="majorBidi" w:hAnsiTheme="majorBidi" w:cstheme="majorBidi"/>
          <w:sz w:val="24"/>
          <w:szCs w:val="24"/>
          <w:lang w:val="en-US"/>
        </w:rPr>
      </w:pPr>
    </w:p>
    <w:p w14:paraId="483F676E">
      <w:pPr>
        <w:spacing w:after="200" w:line="480" w:lineRule="auto"/>
        <w:jc w:val="both"/>
        <w:rPr>
          <w:rFonts w:asciiTheme="majorBidi" w:hAnsiTheme="majorBidi" w:cstheme="majorBidi"/>
          <w:sz w:val="24"/>
          <w:szCs w:val="24"/>
          <w:lang w:val="en-US"/>
        </w:rPr>
        <w:sectPr>
          <w:pgSz w:w="12240" w:h="15840"/>
          <w:pgMar w:top="1440" w:right="1440" w:bottom="1440" w:left="1440" w:header="720" w:footer="720" w:gutter="0"/>
          <w:cols w:space="720" w:num="1"/>
          <w:docGrid w:linePitch="360" w:charSpace="0"/>
        </w:sectPr>
      </w:pPr>
    </w:p>
    <w:p w14:paraId="436FBB08">
      <w:pPr>
        <w:spacing w:after="20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Figure 1 demonstrates the diagnostic performance of four biomarkers for pediatric pneumonia diagnosis through ROC curve analysis. The neutrophil-to-lymphocyte CD64 ratio exhibited superior diagnostic accuracy (AUC=0.97) with optimal sensitivity (90%) and specificity (99%) at a cut-off of 7.3. Neutrophil CD64-FITC and neutrophil-to-monocyte CD64 ratio both showed excellent performance (AUC=0.91) with high specificity (85-92%). CRP demonstrated good diagnostic utility (AUC=0.86-0.89) with balanced sensitivity and specificity. </w:t>
      </w:r>
    </w:p>
    <w:p w14:paraId="3066F41B">
      <w:pPr>
        <w:spacing w:after="200" w:line="480" w:lineRule="auto"/>
        <w:jc w:val="both"/>
        <w:rPr>
          <w:lang w:val="en-US"/>
        </w:rPr>
      </w:pPr>
    </w:p>
    <w:p w14:paraId="78AF6D3F">
      <w:pPr>
        <w:spacing w:after="200" w:line="480" w:lineRule="auto"/>
        <w:jc w:val="both"/>
        <w:rPr>
          <w:lang w:val="en-US"/>
        </w:rPr>
      </w:pPr>
    </w:p>
    <w:p w14:paraId="7CFF07FD">
      <w:pPr>
        <w:spacing w:after="200" w:line="480" w:lineRule="auto"/>
        <w:jc w:val="both"/>
        <w:rPr>
          <w:lang w:val="en-US"/>
        </w:rPr>
        <w:sectPr>
          <w:pgSz w:w="12240" w:h="15840"/>
          <w:pgMar w:top="1440" w:right="1440" w:bottom="1440" w:left="1440" w:header="720" w:footer="720" w:gutter="0"/>
          <w:cols w:space="720" w:num="1"/>
          <w:docGrid w:linePitch="360" w:charSpace="0"/>
        </w:sectPr>
      </w:pPr>
    </w:p>
    <w:p w14:paraId="5EE269B9">
      <w:pPr>
        <w:spacing w:after="200" w:line="480" w:lineRule="auto"/>
        <w:jc w:val="both"/>
        <w:rPr>
          <w:lang w:val="en-US"/>
        </w:rPr>
      </w:pPr>
    </w:p>
    <w:tbl>
      <w:tblPr>
        <w:tblStyle w:val="51"/>
        <w:tblW w:w="15108" w:type="dxa"/>
        <w:tblInd w:w="-88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26"/>
        <w:gridCol w:w="4806"/>
        <w:gridCol w:w="5076"/>
      </w:tblGrid>
      <w:tr w14:paraId="32410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0" w:hRule="atLeast"/>
        </w:trPr>
        <w:tc>
          <w:tcPr>
            <w:tcW w:w="5076" w:type="dxa"/>
          </w:tcPr>
          <w:p w14:paraId="2EFEBEF1">
            <w:pPr>
              <w:spacing w:after="0" w:line="240" w:lineRule="auto"/>
              <w:rPr>
                <w:lang w:val="en-US"/>
              </w:rPr>
            </w:pPr>
            <w:r>
              <w:rPr>
                <w:lang w:val="en-US"/>
              </w:rPr>
              <mc:AlternateContent>
                <mc:Choice Requires="wps">
                  <w:drawing>
                    <wp:anchor distT="0" distB="0" distL="114300" distR="114300" simplePos="0" relativeHeight="251659264" behindDoc="0" locked="0" layoutInCell="1" allowOverlap="1">
                      <wp:simplePos x="0" y="0"/>
                      <wp:positionH relativeFrom="column">
                        <wp:posOffset>31115</wp:posOffset>
                      </wp:positionH>
                      <wp:positionV relativeFrom="paragraph">
                        <wp:posOffset>2355850</wp:posOffset>
                      </wp:positionV>
                      <wp:extent cx="342900" cy="23812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342900" cy="238125"/>
                              </a:xfrm>
                              <a:prstGeom prst="rect">
                                <a:avLst/>
                              </a:prstGeom>
                              <a:solidFill>
                                <a:srgbClr val="C0504D">
                                  <a:lumMod val="40000"/>
                                  <a:lumOff val="60000"/>
                                </a:srgbClr>
                              </a:solidFill>
                              <a:ln w="12700" cap="flat" cmpd="sng" algn="ctr">
                                <a:solidFill>
                                  <a:sysClr val="windowText" lastClr="000000"/>
                                </a:solidFill>
                                <a:prstDash val="solid"/>
                              </a:ln>
                              <a:effectLst/>
                            </wps:spPr>
                            <wps:txbx>
                              <w:txbxContent>
                                <w:p w14:paraId="2D809A53">
                                  <w:pPr>
                                    <w:jc w:val="center"/>
                                    <w:rPr>
                                      <w:b/>
                                      <w:bCs/>
                                    </w:rPr>
                                  </w:pPr>
                                  <w:r>
                                    <w:rPr>
                                      <w:b/>
                                      <w:bCs/>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5pt;margin-top:185.5pt;height:18.75pt;width:27pt;z-index:251659264;mso-width-relative:page;mso-height-relative:page;" fillcolor="#E6B9B8" filled="t" stroked="t" coordsize="21600,21600" o:gfxdata="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XtFEW1AAA&#10;AAgBAAAPAAAAAAAAAAEAIAAAACIAAABkcnMvZG93bnJldi54bWxQSwECFAAUAAAACACHTuJA2oNF&#10;QZQCAABMBQAADgAAAAAAAAABACAAAAAjAQAAZHJzL2Uyb0RvYy54bWxQSwUGAAAAAAYABgBZAQAA&#10;KQYAAAAA&#10;">
                      <v:fill on="t" focussize="0,0"/>
                      <v:stroke weight="1pt" color="#000000" joinstyle="round"/>
                      <v:imagedata o:title=""/>
                      <o:lock v:ext="edit" aspectratio="f"/>
                      <v:textbox>
                        <w:txbxContent>
                          <w:p w14:paraId="2D809A53">
                            <w:pPr>
                              <w:jc w:val="center"/>
                              <w:rPr>
                                <w:b/>
                                <w:bCs/>
                              </w:rPr>
                            </w:pPr>
                            <w:r>
                              <w:rPr>
                                <w:b/>
                                <w:bCs/>
                              </w:rPr>
                              <w:t>A</w:t>
                            </w:r>
                          </w:p>
                        </w:txbxContent>
                      </v:textbox>
                    </v:shape>
                  </w:pict>
                </mc:Fallback>
              </mc:AlternateContent>
            </w:r>
            <w:r>
              <w:rPr>
                <w:lang w:val="en-US"/>
              </w:rPr>
              <w:drawing>
                <wp:inline distT="0" distB="0" distL="0" distR="0">
                  <wp:extent cx="3038475" cy="26098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038475" cy="2609850"/>
                          </a:xfrm>
                          <a:prstGeom prst="rect">
                            <a:avLst/>
                          </a:prstGeom>
                          <a:noFill/>
                        </pic:spPr>
                      </pic:pic>
                    </a:graphicData>
                  </a:graphic>
                </wp:inline>
              </w:drawing>
            </w:r>
          </w:p>
        </w:tc>
        <w:tc>
          <w:tcPr>
            <w:tcW w:w="5226" w:type="dxa"/>
          </w:tcPr>
          <w:p w14:paraId="7DEFEA21">
            <w:pPr>
              <w:spacing w:after="0" w:line="240" w:lineRule="auto"/>
              <w:rPr>
                <w:lang w:val="en-US"/>
              </w:rPr>
            </w:pPr>
            <w:r>
              <w:rPr>
                <w:lang w:val="en-US"/>
              </w:rPr>
              <w:drawing>
                <wp:inline distT="0" distB="0" distL="0" distR="0">
                  <wp:extent cx="2914650" cy="2590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14650" cy="2590800"/>
                          </a:xfrm>
                          <a:prstGeom prst="rect">
                            <a:avLst/>
                          </a:prstGeom>
                          <a:noFill/>
                        </pic:spPr>
                      </pic:pic>
                    </a:graphicData>
                  </a:graphic>
                </wp:inline>
              </w:drawing>
            </w:r>
            <w:r>
              <w:rPr>
                <w:lang w:val="en-US"/>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2317750</wp:posOffset>
                      </wp:positionV>
                      <wp:extent cx="352425" cy="27622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352425" cy="276225"/>
                              </a:xfrm>
                              <a:prstGeom prst="rect">
                                <a:avLst/>
                              </a:prstGeom>
                              <a:solidFill>
                                <a:srgbClr val="C0504D">
                                  <a:lumMod val="40000"/>
                                  <a:lumOff val="60000"/>
                                </a:srgbClr>
                              </a:solidFill>
                              <a:ln w="6350">
                                <a:solidFill>
                                  <a:prstClr val="black"/>
                                </a:solidFill>
                              </a:ln>
                            </wps:spPr>
                            <wps:txbx>
                              <w:txbxContent>
                                <w:p w14:paraId="46398D11">
                                  <w:pPr>
                                    <w:jc w:val="center"/>
                                    <w:rPr>
                                      <w:b/>
                                      <w:bCs/>
                                    </w:rPr>
                                  </w:pPr>
                                  <w:r>
                                    <w:rPr>
                                      <w:b/>
                                      <w:bCs/>
                                    </w:rPr>
                                    <w:t>B</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85pt;margin-top:182.5pt;height:21.75pt;width:27.75pt;z-index:251660288;mso-width-relative:page;mso-height-relative:page;" fillcolor="#E6B9B8" filled="t" stroked="t" coordsize="21600,21600" o:gfxdata="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6N0htNoAAAAJAQAADwAAAAAAAAABACAAAAAiAAAAZHJzL2Rvd25yZXYueG1sUEsB&#10;AhQAFAAAAAgAh07iQGwRVc9lAgAA7gQAAA4AAAAAAAAAAQAgAAAAKQEAAGRycy9lMm9Eb2MueG1s&#10;UEsFBgAAAAAGAAYAWQEAAAAGAAAAAA==&#10;">
                      <v:fill on="t" focussize="0,0"/>
                      <v:stroke weight="0.5pt" color="#000000" joinstyle="round"/>
                      <v:imagedata o:title=""/>
                      <o:lock v:ext="edit" aspectratio="f"/>
                      <v:textbox>
                        <w:txbxContent>
                          <w:p w14:paraId="46398D11">
                            <w:pPr>
                              <w:jc w:val="center"/>
                              <w:rPr>
                                <w:b/>
                                <w:bCs/>
                              </w:rPr>
                            </w:pPr>
                            <w:r>
                              <w:rPr>
                                <w:b/>
                                <w:bCs/>
                              </w:rPr>
                              <w:t>B</w:t>
                            </w:r>
                          </w:p>
                        </w:txbxContent>
                      </v:textbox>
                    </v:shape>
                  </w:pict>
                </mc:Fallback>
              </mc:AlternateContent>
            </w:r>
          </w:p>
        </w:tc>
        <w:tc>
          <w:tcPr>
            <w:tcW w:w="4806" w:type="dxa"/>
          </w:tcPr>
          <w:p w14:paraId="77F5F83C">
            <w:pPr>
              <w:spacing w:after="0" w:line="240" w:lineRule="auto"/>
              <w:rPr>
                <w:lang w:val="en-US"/>
              </w:rPr>
            </w:pPr>
            <w:r>
              <w:rPr>
                <w:lang w:val="en-US"/>
              </w:rPr>
              <w:drawing>
                <wp:inline distT="0" distB="0" distL="0" distR="0">
                  <wp:extent cx="3076575" cy="26670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076575" cy="2667000"/>
                          </a:xfrm>
                          <a:prstGeom prst="rect">
                            <a:avLst/>
                          </a:prstGeom>
                          <a:noFill/>
                        </pic:spPr>
                      </pic:pic>
                    </a:graphicData>
                  </a:graphic>
                </wp:inline>
              </w:drawing>
            </w:r>
            <w:r>
              <w:rPr>
                <w:lang w:val="en-US"/>
              </w:rPr>
              <mc:AlternateContent>
                <mc:Choice Requires="wps">
                  <w:drawing>
                    <wp:anchor distT="0" distB="0" distL="114300" distR="114300" simplePos="0" relativeHeight="251661312" behindDoc="0" locked="0" layoutInCell="1" allowOverlap="1">
                      <wp:simplePos x="0" y="0"/>
                      <wp:positionH relativeFrom="column">
                        <wp:posOffset>-42545</wp:posOffset>
                      </wp:positionH>
                      <wp:positionV relativeFrom="paragraph">
                        <wp:posOffset>2317750</wp:posOffset>
                      </wp:positionV>
                      <wp:extent cx="381000" cy="24765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381000" cy="247650"/>
                              </a:xfrm>
                              <a:prstGeom prst="rect">
                                <a:avLst/>
                              </a:prstGeom>
                              <a:solidFill>
                                <a:srgbClr val="C0504D">
                                  <a:lumMod val="40000"/>
                                  <a:lumOff val="60000"/>
                                </a:srgbClr>
                              </a:solidFill>
                              <a:ln w="6350">
                                <a:solidFill>
                                  <a:prstClr val="black"/>
                                </a:solidFill>
                              </a:ln>
                            </wps:spPr>
                            <wps:txbx>
                              <w:txbxContent>
                                <w:p w14:paraId="0AB93DA6">
                                  <w:pPr>
                                    <w:jc w:val="center"/>
                                    <w:rPr>
                                      <w:b/>
                                      <w:bCs/>
                                    </w:rPr>
                                  </w:pPr>
                                  <w:r>
                                    <w:rPr>
                                      <w:b/>
                                      <w:bCs/>
                                    </w:rPr>
                                    <w:t>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5pt;margin-top:182.5pt;height:19.5pt;width:30pt;z-index:251661312;mso-width-relative:page;mso-height-relative:page;" fillcolor="#E6B9B8" filled="t" stroked="t" coordsize="21600,21600" o:gfxdata="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zkbh8toAAAAJAQAADwAAAAAAAAABACAAAAAiAAAAZHJzL2Rvd25yZXYueG1sUEsBAhQA&#10;FAAAAAgAh07iQK8NmGRiAgAA8AQAAA4AAAAAAAAAAQAgAAAAKQEAAGRycy9lMm9Eb2MueG1sUEsF&#10;BgAAAAAGAAYAWQEAAP0FAAAAAA==&#10;">
                      <v:fill on="t" focussize="0,0"/>
                      <v:stroke weight="0.5pt" color="#000000" joinstyle="round"/>
                      <v:imagedata o:title=""/>
                      <o:lock v:ext="edit" aspectratio="f"/>
                      <v:textbox>
                        <w:txbxContent>
                          <w:p w14:paraId="0AB93DA6">
                            <w:pPr>
                              <w:jc w:val="center"/>
                              <w:rPr>
                                <w:b/>
                                <w:bCs/>
                              </w:rPr>
                            </w:pPr>
                            <w:r>
                              <w:rPr>
                                <w:b/>
                                <w:bCs/>
                              </w:rPr>
                              <w:t>C</w:t>
                            </w:r>
                          </w:p>
                        </w:txbxContent>
                      </v:textbox>
                    </v:shape>
                  </w:pict>
                </mc:Fallback>
              </mc:AlternateContent>
            </w:r>
          </w:p>
        </w:tc>
      </w:tr>
      <w:tr w14:paraId="45304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2" w:hRule="atLeast"/>
        </w:trPr>
        <w:tc>
          <w:tcPr>
            <w:tcW w:w="5076" w:type="dxa"/>
          </w:tcPr>
          <w:p w14:paraId="03A5AA64">
            <w:pPr>
              <w:spacing w:after="0" w:line="240" w:lineRule="auto"/>
              <w:rPr>
                <w:lang w:val="en-US"/>
              </w:rPr>
            </w:pPr>
            <w:r>
              <w:rPr>
                <w:lang w:val="en-US"/>
              </w:rPr>
              <w:drawing>
                <wp:inline distT="0" distB="0" distL="0" distR="0">
                  <wp:extent cx="3181350" cy="26765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181350" cy="2676525"/>
                          </a:xfrm>
                          <a:prstGeom prst="rect">
                            <a:avLst/>
                          </a:prstGeom>
                          <a:noFill/>
                        </pic:spPr>
                      </pic:pic>
                    </a:graphicData>
                  </a:graphic>
                </wp:inline>
              </w:drawing>
            </w:r>
            <w:r>
              <w:rPr>
                <w:lang w:val="en-US"/>
              </w:rPr>
              <mc:AlternateContent>
                <mc:Choice Requires="wps">
                  <w:drawing>
                    <wp:anchor distT="0" distB="0" distL="114300" distR="114300" simplePos="0" relativeHeight="251662336" behindDoc="0" locked="0" layoutInCell="1" allowOverlap="1">
                      <wp:simplePos x="0" y="0"/>
                      <wp:positionH relativeFrom="column">
                        <wp:posOffset>-16510</wp:posOffset>
                      </wp:positionH>
                      <wp:positionV relativeFrom="paragraph">
                        <wp:posOffset>2444750</wp:posOffset>
                      </wp:positionV>
                      <wp:extent cx="371475" cy="2286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371475" cy="228600"/>
                              </a:xfrm>
                              <a:prstGeom prst="rect">
                                <a:avLst/>
                              </a:prstGeom>
                              <a:solidFill>
                                <a:srgbClr val="C0504D">
                                  <a:lumMod val="40000"/>
                                  <a:lumOff val="60000"/>
                                </a:srgbClr>
                              </a:solidFill>
                              <a:ln w="6350">
                                <a:solidFill>
                                  <a:prstClr val="black"/>
                                </a:solidFill>
                              </a:ln>
                            </wps:spPr>
                            <wps:txbx>
                              <w:txbxContent>
                                <w:p w14:paraId="3B6ADE59">
                                  <w:pPr>
                                    <w:jc w:val="center"/>
                                    <w:rPr>
                                      <w:b/>
                                      <w:bCs/>
                                    </w:rPr>
                                  </w:pPr>
                                  <w:r>
                                    <w:rPr>
                                      <w:b/>
                                      <w:bCs/>
                                    </w:rPr>
                                    <w:t>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pt;margin-top:192.5pt;height:18pt;width:29.25pt;z-index:251662336;mso-width-relative:page;mso-height-relative:page;" fillcolor="#E6B9B8" filled="t" stroked="t" coordsize="21600,21600" o:gfxdata="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u96CdoAAAAJAQAADwAAAAAAAAABACAAAAAiAAAAZHJzL2Rvd25yZXYueG1sUEsB&#10;AhQAFAAAAAgAh07iQG9jBYBlAgAA8AQAAA4AAAAAAAAAAQAgAAAAKQEAAGRycy9lMm9Eb2MueG1s&#10;UEsFBgAAAAAGAAYAWQEAAAAGAAAAAA==&#10;">
                      <v:fill on="t" focussize="0,0"/>
                      <v:stroke weight="0.5pt" color="#000000" joinstyle="round"/>
                      <v:imagedata o:title=""/>
                      <o:lock v:ext="edit" aspectratio="f"/>
                      <v:textbox>
                        <w:txbxContent>
                          <w:p w14:paraId="3B6ADE59">
                            <w:pPr>
                              <w:jc w:val="center"/>
                              <w:rPr>
                                <w:b/>
                                <w:bCs/>
                              </w:rPr>
                            </w:pPr>
                            <w:r>
                              <w:rPr>
                                <w:b/>
                                <w:bCs/>
                              </w:rPr>
                              <w:t>D</w:t>
                            </w:r>
                          </w:p>
                        </w:txbxContent>
                      </v:textbox>
                    </v:shape>
                  </w:pict>
                </mc:Fallback>
              </mc:AlternateContent>
            </w:r>
          </w:p>
        </w:tc>
        <w:tc>
          <w:tcPr>
            <w:tcW w:w="5226" w:type="dxa"/>
          </w:tcPr>
          <w:p w14:paraId="05867D46">
            <w:pPr>
              <w:spacing w:after="0" w:line="240" w:lineRule="auto"/>
              <w:rPr>
                <w:lang w:val="en-US"/>
              </w:rPr>
            </w:pPr>
          </w:p>
        </w:tc>
        <w:tc>
          <w:tcPr>
            <w:tcW w:w="4806" w:type="dxa"/>
          </w:tcPr>
          <w:p w14:paraId="138089B9">
            <w:pPr>
              <w:spacing w:after="0" w:line="240" w:lineRule="auto"/>
              <w:rPr>
                <w:lang w:val="en-US"/>
              </w:rPr>
            </w:pPr>
          </w:p>
        </w:tc>
      </w:tr>
    </w:tbl>
    <w:p w14:paraId="681C53A5">
      <w:pPr>
        <w:spacing w:before="100" w:beforeAutospacing="1" w:after="100" w:afterAutospacing="1" w:line="240" w:lineRule="auto"/>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Figure 1. ROC Curve Analysis of Non-Classic Biomarkers for Diagnosing Pediatric Pneumonia</w:t>
      </w:r>
    </w:p>
    <w:p w14:paraId="21C1D156">
      <w:pPr>
        <w:spacing w:before="100" w:beforeAutospacing="1" w:after="100" w:afterAutospacing="1" w:line="240" w:lineRule="auto"/>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(A) C-reactive protein, (B)Neutrophils CD64-FITC, (C) Neutrophils CD64-FITC/Monocytes CD64-FITC ratio, (D) Neutrophils CD64-FITC/Lymphocytes CD64-FITC ratio.</w:t>
      </w:r>
    </w:p>
    <w:p w14:paraId="23889567">
      <w:pPr>
        <w:spacing w:after="200" w:line="480" w:lineRule="auto"/>
        <w:jc w:val="both"/>
        <w:rPr>
          <w:rFonts w:asciiTheme="majorBidi" w:hAnsiTheme="majorBidi" w:cstheme="majorBidi"/>
          <w:sz w:val="24"/>
          <w:szCs w:val="24"/>
          <w:lang w:val="en-US"/>
        </w:rPr>
      </w:pPr>
    </w:p>
    <w:p w14:paraId="49D85CFF">
      <w:pPr>
        <w:widowControl w:val="0"/>
        <w:autoSpaceDE w:val="0"/>
        <w:autoSpaceDN w:val="0"/>
        <w:adjustRightInd w:val="0"/>
        <w:spacing w:after="0" w:line="480" w:lineRule="auto"/>
        <w:jc w:val="both"/>
        <w:rPr>
          <w:rFonts w:eastAsia="Calibri" w:asciiTheme="minorBidi" w:hAnsiTheme="minorBidi"/>
          <w:lang w:val="en-US"/>
        </w:rPr>
      </w:pPr>
    </w:p>
    <w:p w14:paraId="0C746E8B">
      <w:pPr>
        <w:widowControl w:val="0"/>
        <w:autoSpaceDE w:val="0"/>
        <w:autoSpaceDN w:val="0"/>
        <w:adjustRightInd w:val="0"/>
        <w:spacing w:after="0" w:line="480" w:lineRule="auto"/>
        <w:jc w:val="both"/>
        <w:rPr>
          <w:rFonts w:eastAsia="Calibri" w:asciiTheme="minorBidi" w:hAnsiTheme="minorBidi"/>
          <w:lang w:val="en-US"/>
        </w:rPr>
      </w:pPr>
    </w:p>
    <w:p w14:paraId="69C17E0B">
      <w:pPr>
        <w:widowControl w:val="0"/>
        <w:autoSpaceDE w:val="0"/>
        <w:autoSpaceDN w:val="0"/>
        <w:adjustRightInd w:val="0"/>
        <w:spacing w:after="0" w:line="480" w:lineRule="auto"/>
        <w:jc w:val="both"/>
        <w:rPr>
          <w:rFonts w:eastAsia="Calibri" w:asciiTheme="minorBidi" w:hAnsiTheme="minorBidi"/>
          <w:lang w:val="en-US"/>
        </w:rPr>
      </w:pPr>
    </w:p>
    <w:p w14:paraId="3F0D6B00">
      <w:pPr>
        <w:widowControl w:val="0"/>
        <w:autoSpaceDE w:val="0"/>
        <w:autoSpaceDN w:val="0"/>
        <w:adjustRightInd w:val="0"/>
        <w:spacing w:after="0" w:line="480" w:lineRule="auto"/>
        <w:jc w:val="both"/>
        <w:rPr>
          <w:rFonts w:eastAsia="Calibri" w:asciiTheme="minorBidi" w:hAnsiTheme="minorBidi"/>
          <w:lang w:val="en-US"/>
        </w:rPr>
      </w:pPr>
    </w:p>
    <w:p w14:paraId="00CEB446">
      <w:pPr>
        <w:widowControl w:val="0"/>
        <w:autoSpaceDE w:val="0"/>
        <w:autoSpaceDN w:val="0"/>
        <w:adjustRightInd w:val="0"/>
        <w:spacing w:after="0" w:line="480" w:lineRule="auto"/>
        <w:jc w:val="both"/>
        <w:rPr>
          <w:rFonts w:eastAsia="Calibri" w:asciiTheme="minorBidi" w:hAnsiTheme="minorBidi"/>
          <w:lang w:val="en-US"/>
        </w:rPr>
      </w:pPr>
    </w:p>
    <w:p w14:paraId="14E689AB">
      <w:pPr>
        <w:widowControl w:val="0"/>
        <w:autoSpaceDE w:val="0"/>
        <w:autoSpaceDN w:val="0"/>
        <w:adjustRightInd w:val="0"/>
        <w:spacing w:after="0" w:line="480" w:lineRule="auto"/>
        <w:jc w:val="both"/>
        <w:rPr>
          <w:rFonts w:eastAsia="Calibri" w:asciiTheme="minorBidi" w:hAnsiTheme="minorBidi"/>
          <w:lang w:val="en-US"/>
        </w:rPr>
      </w:pPr>
    </w:p>
    <w:p w14:paraId="6B3C2D5A">
      <w:pPr>
        <w:widowControl w:val="0"/>
        <w:autoSpaceDE w:val="0"/>
        <w:autoSpaceDN w:val="0"/>
        <w:adjustRightInd w:val="0"/>
        <w:spacing w:after="0" w:line="480" w:lineRule="auto"/>
        <w:jc w:val="both"/>
        <w:rPr>
          <w:rFonts w:eastAsia="Calibri" w:asciiTheme="minorBidi" w:hAnsiTheme="minorBidi"/>
          <w:lang w:val="en-US"/>
        </w:rPr>
      </w:pPr>
    </w:p>
    <w:p w14:paraId="7EA4BEEE">
      <w:pPr>
        <w:widowControl w:val="0"/>
        <w:autoSpaceDE w:val="0"/>
        <w:autoSpaceDN w:val="0"/>
        <w:adjustRightInd w:val="0"/>
        <w:spacing w:after="0" w:line="480" w:lineRule="auto"/>
        <w:jc w:val="both"/>
        <w:rPr>
          <w:rFonts w:eastAsia="Calibri" w:asciiTheme="minorBidi" w:hAnsiTheme="minorBidi"/>
          <w:lang w:val="en-US"/>
        </w:rPr>
      </w:pPr>
    </w:p>
    <w:p w14:paraId="113DA1FB">
      <w:pPr>
        <w:widowControl w:val="0"/>
        <w:autoSpaceDE w:val="0"/>
        <w:autoSpaceDN w:val="0"/>
        <w:adjustRightInd w:val="0"/>
        <w:spacing w:after="0" w:line="480" w:lineRule="auto"/>
        <w:jc w:val="both"/>
        <w:rPr>
          <w:rFonts w:eastAsia="Calibri" w:asciiTheme="minorBidi" w:hAnsiTheme="minorBidi"/>
          <w:lang w:val="en-US"/>
        </w:rPr>
      </w:pPr>
    </w:p>
    <w:p w14:paraId="047BD4DB">
      <w:pPr>
        <w:widowControl w:val="0"/>
        <w:autoSpaceDE w:val="0"/>
        <w:autoSpaceDN w:val="0"/>
        <w:adjustRightInd w:val="0"/>
        <w:spacing w:after="0" w:line="480" w:lineRule="auto"/>
        <w:jc w:val="both"/>
        <w:rPr>
          <w:rFonts w:eastAsia="Calibri" w:asciiTheme="minorBidi" w:hAnsiTheme="minorBidi"/>
          <w:lang w:val="en-US"/>
        </w:rPr>
        <w:sectPr>
          <w:pgSz w:w="15840" w:h="12240" w:orient="landscape"/>
          <w:pgMar w:top="1302" w:right="1440" w:bottom="1440" w:left="1440" w:header="709" w:footer="709" w:gutter="0"/>
          <w:cols w:space="708" w:num="1"/>
          <w:docGrid w:linePitch="360" w:charSpace="0"/>
        </w:sectPr>
      </w:pPr>
    </w:p>
    <w:p w14:paraId="1DA191A7">
      <w:pPr>
        <w:widowControl w:val="0"/>
        <w:autoSpaceDE w:val="0"/>
        <w:autoSpaceDN w:val="0"/>
        <w:adjustRightInd w:val="0"/>
        <w:spacing w:after="0" w:line="480" w:lineRule="auto"/>
        <w:rPr>
          <w:rFonts w:asciiTheme="majorBidi" w:hAnsiTheme="majorBidi" w:cstheme="majorBidi"/>
          <w:b/>
          <w:bCs/>
          <w:caps/>
          <w:sz w:val="24"/>
          <w:szCs w:val="24"/>
        </w:rPr>
      </w:pPr>
      <w:r>
        <w:rPr>
          <w:rFonts w:asciiTheme="majorBidi" w:hAnsiTheme="majorBidi" w:cstheme="majorBidi"/>
          <w:b/>
          <w:bCs/>
          <w:sz w:val="24"/>
          <w:szCs w:val="24"/>
        </w:rPr>
        <w:t>Discussion</w:t>
      </w:r>
    </w:p>
    <w:p w14:paraId="5A5D8111">
      <w:pPr>
        <w:widowControl w:val="0"/>
        <w:autoSpaceDE w:val="0"/>
        <w:autoSpaceDN w:val="0"/>
        <w:adjustRightInd w:val="0"/>
        <w:spacing w:after="0" w:line="480" w:lineRule="auto"/>
        <w:jc w:val="both"/>
        <w:rPr>
          <w:rFonts w:eastAsia="Calibri" w:asciiTheme="majorBidi" w:hAnsiTheme="majorBidi" w:cstheme="majorBidi"/>
          <w:sz w:val="24"/>
          <w:szCs w:val="24"/>
          <w:lang w:val="en-US"/>
        </w:rPr>
      </w:pPr>
      <w:r>
        <w:rPr>
          <w:rFonts w:eastAsia="Calibri" w:asciiTheme="majorBidi" w:hAnsiTheme="majorBidi" w:cstheme="majorBidi"/>
          <w:sz w:val="24"/>
          <w:szCs w:val="24"/>
          <w:lang w:val="en-US"/>
        </w:rPr>
        <w:t>The present study evaluated non-classic biomarkers in pediatric pneumonia, demonstrating their significant potential for diagnosis and prognosis assessment. Our findings contribute to the growing body of evidence supporting the clinical utility of immune response markers beyond traditional inflammatory indicators.</w:t>
      </w:r>
    </w:p>
    <w:p w14:paraId="502D5B5E">
      <w:pPr>
        <w:widowControl w:val="0"/>
        <w:autoSpaceDE w:val="0"/>
        <w:autoSpaceDN w:val="0"/>
        <w:adjustRightInd w:val="0"/>
        <w:spacing w:after="0" w:line="480" w:lineRule="auto"/>
        <w:jc w:val="both"/>
        <w:rPr>
          <w:rFonts w:eastAsia="Calibri" w:asciiTheme="majorBidi" w:hAnsiTheme="majorBidi" w:cstheme="majorBidi"/>
          <w:sz w:val="24"/>
          <w:szCs w:val="24"/>
          <w:lang w:val="en-US"/>
        </w:rPr>
      </w:pPr>
      <w:r>
        <w:rPr>
          <w:rFonts w:eastAsia="Calibri" w:asciiTheme="majorBidi" w:hAnsiTheme="majorBidi" w:cstheme="majorBidi"/>
          <w:sz w:val="24"/>
          <w:szCs w:val="24"/>
          <w:lang w:val="en-US"/>
        </w:rPr>
        <w:t xml:space="preserve"> </w:t>
      </w:r>
    </w:p>
    <w:p w14:paraId="7716F817">
      <w:pPr>
        <w:widowControl w:val="0"/>
        <w:autoSpaceDE w:val="0"/>
        <w:autoSpaceDN w:val="0"/>
        <w:adjustRightInd w:val="0"/>
        <w:spacing w:after="0" w:line="480" w:lineRule="auto"/>
        <w:jc w:val="both"/>
        <w:rPr>
          <w:rFonts w:eastAsia="Calibri" w:asciiTheme="majorBidi" w:hAnsiTheme="majorBidi" w:cstheme="majorBidi"/>
          <w:sz w:val="24"/>
          <w:szCs w:val="24"/>
          <w:lang w:val="en-US"/>
        </w:rPr>
      </w:pPr>
      <w:r>
        <w:rPr>
          <w:rFonts w:eastAsia="Calibri" w:asciiTheme="majorBidi" w:hAnsiTheme="majorBidi" w:cstheme="majorBidi"/>
          <w:sz w:val="24"/>
          <w:szCs w:val="24"/>
          <w:lang w:val="en-US"/>
        </w:rPr>
        <w:t>In our study, Neutrophil CD64-FITC expression was markedly elevated in cases, with excellent diagnostic accuracy (sensitivity 78%, specificity 92%, AUC 0.91). The neutrophil-to-lymphocyte CD64 ratio demonstrated exceptional performance (sensitivity 90%, specificity 99%, AUC 0.97), representing the highest diagnostic accuracy among all tested biomarkers. This high-affinity Fc receptor upregulation reflects neutrophil activation during bacterial infections, consistent with studies by Ito and Ishida (2020) showing CD64's utility in distinguishing bacterial from viral pneumonia in children [5].</w:t>
      </w:r>
    </w:p>
    <w:p w14:paraId="47388D7B">
      <w:pPr>
        <w:widowControl w:val="0"/>
        <w:autoSpaceDE w:val="0"/>
        <w:autoSpaceDN w:val="0"/>
        <w:adjustRightInd w:val="0"/>
        <w:spacing w:after="0" w:line="480" w:lineRule="auto"/>
        <w:jc w:val="both"/>
        <w:rPr>
          <w:rFonts w:eastAsia="Calibri" w:asciiTheme="majorBidi" w:hAnsiTheme="majorBidi" w:cstheme="majorBidi"/>
          <w:sz w:val="24"/>
          <w:szCs w:val="24"/>
          <w:lang w:val="en-US"/>
        </w:rPr>
      </w:pPr>
      <w:r>
        <w:rPr>
          <w:rFonts w:eastAsia="Calibri" w:asciiTheme="majorBidi" w:hAnsiTheme="majorBidi" w:cstheme="majorBidi"/>
          <w:sz w:val="24"/>
          <w:szCs w:val="24"/>
          <w:lang w:val="en-US"/>
        </w:rPr>
        <w:t xml:space="preserve"> </w:t>
      </w:r>
    </w:p>
    <w:p w14:paraId="5F987CBA">
      <w:pPr>
        <w:widowControl w:val="0"/>
        <w:autoSpaceDE w:val="0"/>
        <w:autoSpaceDN w:val="0"/>
        <w:adjustRightInd w:val="0"/>
        <w:spacing w:after="0" w:line="480" w:lineRule="auto"/>
        <w:jc w:val="both"/>
        <w:rPr>
          <w:rFonts w:eastAsia="Calibri" w:asciiTheme="majorBidi" w:hAnsiTheme="majorBidi" w:cstheme="majorBidi"/>
          <w:sz w:val="24"/>
          <w:szCs w:val="24"/>
          <w:lang w:val="en-US"/>
        </w:rPr>
      </w:pPr>
      <w:r>
        <w:rPr>
          <w:rFonts w:eastAsia="Calibri" w:asciiTheme="majorBidi" w:hAnsiTheme="majorBidi" w:cstheme="majorBidi"/>
          <w:sz w:val="24"/>
          <w:szCs w:val="24"/>
          <w:lang w:val="en-US"/>
        </w:rPr>
        <w:t>Our study demonstrated strong correlations between biomarker levels and clinical severity. Patients requiring ICU admission showed significantly higher CRP (64.74±51.32 vs. 27.84±28.07 mg/L, p=0.001). Similarly, mechanical ventilation requirement correlated with elevated inflammatory markers, particularly the neutrophil/monocyte CD64 ratio (p=0.020). These associations support findings by Florin et al. (2020), who demonstrated that elevated biomarkers correlate with severe complications in pediatric community-acquired pneumonia [6]. The relationship between mechanical ventilation and mortality observed in our study aligns with research by Meliyanti et al. (2021) and Amin et al. (2023), who identified significant mortality risks associated with mechanical ventilation in pediatric pneumonia patients [8,9].</w:t>
      </w:r>
    </w:p>
    <w:p w14:paraId="77F5CBA0">
      <w:pPr>
        <w:widowControl w:val="0"/>
        <w:autoSpaceDE w:val="0"/>
        <w:autoSpaceDN w:val="0"/>
        <w:adjustRightInd w:val="0"/>
        <w:spacing w:after="0" w:line="480" w:lineRule="auto"/>
        <w:jc w:val="both"/>
        <w:rPr>
          <w:rFonts w:eastAsia="Calibri" w:asciiTheme="majorBidi" w:hAnsiTheme="majorBidi" w:cstheme="majorBidi"/>
          <w:sz w:val="24"/>
          <w:szCs w:val="24"/>
          <w:lang w:val="en-US"/>
        </w:rPr>
      </w:pPr>
      <w:r>
        <w:rPr>
          <w:rFonts w:eastAsia="Calibri" w:asciiTheme="majorBidi" w:hAnsiTheme="majorBidi" w:cstheme="majorBidi"/>
          <w:sz w:val="24"/>
          <w:szCs w:val="24"/>
          <w:lang w:val="en-US"/>
        </w:rPr>
        <w:t>The Clinical Respiratory Score analysis revealed a progressive relationship between biomarker levels and disease severity. CRP levels increased significantly across severity groups (13.24±26.29 to 66.32±52.95 mg/L, p=0.001).</w:t>
      </w:r>
    </w:p>
    <w:p w14:paraId="2B91B415">
      <w:pPr>
        <w:widowControl w:val="0"/>
        <w:autoSpaceDE w:val="0"/>
        <w:autoSpaceDN w:val="0"/>
        <w:adjustRightInd w:val="0"/>
        <w:spacing w:after="0" w:line="480" w:lineRule="auto"/>
        <w:jc w:val="both"/>
        <w:rPr>
          <w:rFonts w:eastAsia="Calibri" w:asciiTheme="majorBidi" w:hAnsiTheme="majorBidi" w:cstheme="majorBidi"/>
          <w:sz w:val="24"/>
          <w:szCs w:val="24"/>
          <w:lang w:val="en-US"/>
        </w:rPr>
      </w:pPr>
      <w:r>
        <w:rPr>
          <w:rFonts w:eastAsia="Calibri" w:asciiTheme="majorBidi" w:hAnsiTheme="majorBidi" w:cstheme="majorBidi"/>
          <w:sz w:val="24"/>
          <w:szCs w:val="24"/>
          <w:lang w:val="en-US"/>
        </w:rPr>
        <w:t>The strong positive correlations observed between inflammatory markers CRP-neutrophil CD64: r=0.667, p&lt;0.001) suggest coordinated immune responses during pneumonia. Our correlation findings support the work of Williams et al. (2024), who identified transcriptomic biomarkers associated with disease severity in childhood pneumonia [12].</w:t>
      </w:r>
    </w:p>
    <w:p w14:paraId="0FB66652">
      <w:pPr>
        <w:widowControl w:val="0"/>
        <w:autoSpaceDE w:val="0"/>
        <w:autoSpaceDN w:val="0"/>
        <w:adjustRightInd w:val="0"/>
        <w:spacing w:after="0" w:line="480" w:lineRule="auto"/>
        <w:jc w:val="both"/>
        <w:rPr>
          <w:rFonts w:eastAsia="Calibri" w:asciiTheme="majorBidi" w:hAnsiTheme="majorBidi" w:cstheme="majorBidi"/>
          <w:sz w:val="24"/>
          <w:szCs w:val="24"/>
          <w:lang w:val="en-US"/>
        </w:rPr>
      </w:pPr>
      <w:r>
        <w:rPr>
          <w:rFonts w:eastAsia="Calibri" w:asciiTheme="majorBidi" w:hAnsiTheme="majorBidi" w:cstheme="majorBidi"/>
          <w:sz w:val="24"/>
          <w:szCs w:val="24"/>
          <w:lang w:val="en-US"/>
        </w:rPr>
        <w:t>Our findings revealed significant hematological changes, including elevated WBC counts and thrombocytopenia in pneumonia cases. These alterations align with studies by Güven and Kışlal (2022) and Ruan et al. (2024), who demonstrated significant differences in hematological markers between children with bacterial pneumonia and other respiratory conditions [13,14]. The biochemical changes observed, including hypoproteinemia and elevated CRP levels, support the inflammatory response patterns described by Wrotek et al. (2022) in their analysis of serum inflammatory markers in pediatric pneumonia [15].</w:t>
      </w:r>
    </w:p>
    <w:p w14:paraId="637FFF59">
      <w:pPr>
        <w:widowControl w:val="0"/>
        <w:autoSpaceDE w:val="0"/>
        <w:autoSpaceDN w:val="0"/>
        <w:adjustRightInd w:val="0"/>
        <w:spacing w:after="0" w:line="480" w:lineRule="auto"/>
        <w:jc w:val="both"/>
        <w:rPr>
          <w:rFonts w:eastAsia="Calibri" w:asciiTheme="majorBidi" w:hAnsiTheme="majorBidi" w:cstheme="majorBidi"/>
          <w:sz w:val="24"/>
          <w:szCs w:val="24"/>
          <w:lang w:val="en-US"/>
        </w:rPr>
      </w:pPr>
      <w:r>
        <w:rPr>
          <w:rFonts w:eastAsia="Calibri" w:asciiTheme="majorBidi" w:hAnsiTheme="majorBidi" w:cstheme="majorBidi"/>
          <w:sz w:val="24"/>
          <w:szCs w:val="24"/>
          <w:lang w:val="en-US"/>
        </w:rPr>
        <w:t>While CRP demonstrated good diagnostic performance (sensitivity 80%, specificity 87%, AUC 0.89), consistent with findings by Ayaz et al. (2024) who reported similar diagnostic accuracy for CRP in pediatric pneumonia [18], the neutrophil-to-lymphocyte CD64 ratio showed superior accuracy. This finding supports the advocacy by Principi and Esposito (2017) for multi-marker approaches in pediatric pneumonia diagnosis [17]. The integration of biomarkers into prediction models, as demonstrated by Ramgopal et al. (2023), shows promise for improving diagnostic accuracy [18].</w:t>
      </w:r>
    </w:p>
    <w:p w14:paraId="4073F5F0">
      <w:pPr>
        <w:widowControl w:val="0"/>
        <w:autoSpaceDE w:val="0"/>
        <w:autoSpaceDN w:val="0"/>
        <w:adjustRightInd w:val="0"/>
        <w:spacing w:after="0" w:line="480" w:lineRule="auto"/>
        <w:jc w:val="both"/>
        <w:rPr>
          <w:rFonts w:eastAsia="Calibri" w:asciiTheme="majorBidi" w:hAnsiTheme="majorBidi" w:cstheme="majorBidi"/>
          <w:sz w:val="24"/>
          <w:szCs w:val="24"/>
          <w:lang w:val="en-US"/>
        </w:rPr>
      </w:pPr>
      <w:r>
        <w:rPr>
          <w:rFonts w:eastAsia="Calibri" w:asciiTheme="majorBidi" w:hAnsiTheme="majorBidi" w:cstheme="majorBidi"/>
          <w:sz w:val="24"/>
          <w:szCs w:val="24"/>
          <w:lang w:val="en-US"/>
        </w:rPr>
        <w:t>Our findings regarding reduced vitamin supplementation in cases (46.6% vs. 73%, p=0.002) align with studies by Labib et al. (2021) and Saied et al. (2022), who demonstrated the protective effects of vitamin D, zinc, and vitamin A supplementation in pediatric pneumonia patients [19,20]. The higher rural residence prevalence in cases (73% vs. 37%, p&lt;0.001) likely reflects socioeconomic factors affecting healthcare access and nutritional status.</w:t>
      </w:r>
    </w:p>
    <w:p w14:paraId="3BAED4A6">
      <w:pPr>
        <w:widowControl w:val="0"/>
        <w:autoSpaceDE w:val="0"/>
        <w:autoSpaceDN w:val="0"/>
        <w:adjustRightInd w:val="0"/>
        <w:spacing w:after="0" w:line="480" w:lineRule="auto"/>
        <w:jc w:val="both"/>
        <w:rPr>
          <w:rFonts w:eastAsia="Calibri" w:asciiTheme="majorBidi" w:hAnsiTheme="majorBidi" w:cstheme="majorBidi"/>
          <w:sz w:val="24"/>
          <w:szCs w:val="24"/>
          <w:lang w:val="en-US"/>
        </w:rPr>
      </w:pPr>
      <w:r>
        <w:rPr>
          <w:rFonts w:eastAsia="Calibri" w:asciiTheme="majorBidi" w:hAnsiTheme="majorBidi" w:cstheme="majorBidi"/>
          <w:sz w:val="24"/>
          <w:szCs w:val="24"/>
          <w:lang w:val="en-US"/>
        </w:rPr>
        <w:t>Despite finding no significant differences in vaccination rates between groups (both had 100% vaccination rates), our results align with studies by Malchrzak et al. (2023) and Tian et al. (2023), who demonstrated that high vaccination coverage can be achieved but may not completely eliminate pneumonia risk, suggesting the importance of additional factors such as nutritional status and immune response markers [21,22].</w:t>
      </w:r>
    </w:p>
    <w:p w14:paraId="3D20C3B0">
      <w:pPr>
        <w:widowControl w:val="0"/>
        <w:autoSpaceDE w:val="0"/>
        <w:autoSpaceDN w:val="0"/>
        <w:adjustRightInd w:val="0"/>
        <w:spacing w:after="0" w:line="480" w:lineRule="auto"/>
        <w:jc w:val="both"/>
        <w:rPr>
          <w:rFonts w:eastAsia="Calibri" w:asciiTheme="majorBidi" w:hAnsiTheme="majorBidi" w:cstheme="majorBidi"/>
          <w:sz w:val="24"/>
          <w:szCs w:val="24"/>
          <w:lang w:val="en-US"/>
        </w:rPr>
      </w:pPr>
      <w:r>
        <w:rPr>
          <w:rFonts w:eastAsia="Calibri" w:asciiTheme="majorBidi" w:hAnsiTheme="majorBidi" w:cstheme="majorBidi"/>
          <w:sz w:val="24"/>
          <w:szCs w:val="24"/>
          <w:lang w:val="en-US"/>
        </w:rPr>
        <w:t>The significant differences in vital signs observed between cases and controls, including tachycardia, tachypnea, fever, and hypoxemia, are consistent with findings by Goodman et al. (2019) and Thompson et al. (2018), who emphasized the importance of these clinical indicators in pneumonia severity assessment [23,24].</w:t>
      </w:r>
    </w:p>
    <w:p w14:paraId="2D00198B">
      <w:pPr>
        <w:widowControl w:val="0"/>
        <w:autoSpaceDE w:val="0"/>
        <w:autoSpaceDN w:val="0"/>
        <w:adjustRightInd w:val="0"/>
        <w:spacing w:after="0" w:line="480" w:lineRule="auto"/>
        <w:jc w:val="both"/>
        <w:rPr>
          <w:rFonts w:eastAsia="Calibri" w:asciiTheme="majorBidi" w:hAnsiTheme="majorBidi" w:cstheme="majorBidi"/>
          <w:sz w:val="24"/>
          <w:szCs w:val="24"/>
          <w:lang w:val="en-US"/>
        </w:rPr>
      </w:pPr>
      <w:r>
        <w:rPr>
          <w:rFonts w:eastAsia="Calibri" w:asciiTheme="majorBidi" w:hAnsiTheme="majorBidi" w:cstheme="majorBidi"/>
          <w:sz w:val="24"/>
          <w:szCs w:val="24"/>
          <w:lang w:val="en-US"/>
        </w:rPr>
        <w:t>The association between prolonged hospitalization and elevated inflammatory markers observed in our study supports the prognostic utility of these biomarkers. Patients with hospital stays &gt;1 week showed significantly elevated CRP, indicating ongoing inflammatory response. This relationship between biomarker levels and clinical outcomes reinforces the findings of Koh et al. (2017), who identified risk factors for mortality in children with pneumonia admitted to pediatric intensive care units [25].</w:t>
      </w:r>
    </w:p>
    <w:p w14:paraId="77E0C4D5">
      <w:pPr>
        <w:widowControl w:val="0"/>
        <w:autoSpaceDE w:val="0"/>
        <w:autoSpaceDN w:val="0"/>
        <w:adjustRightInd w:val="0"/>
        <w:spacing w:after="0" w:line="480" w:lineRule="auto"/>
        <w:jc w:val="both"/>
        <w:rPr>
          <w:rFonts w:eastAsia="Calibri" w:asciiTheme="majorBidi" w:hAnsiTheme="majorBidi" w:cstheme="majorBidi"/>
          <w:sz w:val="24"/>
          <w:szCs w:val="24"/>
          <w:lang w:val="en-US"/>
        </w:rPr>
      </w:pPr>
      <w:r>
        <w:rPr>
          <w:rFonts w:eastAsia="Calibri" w:asciiTheme="majorBidi" w:hAnsiTheme="majorBidi" w:cstheme="majorBidi"/>
          <w:sz w:val="24"/>
          <w:szCs w:val="24"/>
          <w:lang w:val="en-US"/>
        </w:rPr>
        <w:t>The diagnostic performance characteristics of our non-classic biomarkers suggest potential for clinical implementation. The superior performance of neutrophil CD64 ratios, particularly the neutrophil-to-lymphocyte CD64 ratio (AUC 0.97), indicates these markers could enhance current diagnostic algorithms. This aligns with the recommendations by Uwaezuoke and Ayuk (2017) for incorporating novel biomarkers into pediatric pneumonia management protocols [26].</w:t>
      </w:r>
    </w:p>
    <w:p w14:paraId="04EC0955">
      <w:pPr>
        <w:widowControl w:val="0"/>
        <w:autoSpaceDE w:val="0"/>
        <w:autoSpaceDN w:val="0"/>
        <w:adjustRightInd w:val="0"/>
        <w:spacing w:after="0" w:line="480" w:lineRule="auto"/>
        <w:rPr>
          <w:rFonts w:asciiTheme="majorBidi" w:hAnsiTheme="majorBidi" w:cstheme="majorBidi"/>
          <w:b/>
          <w:bCs/>
          <w:caps/>
          <w:sz w:val="24"/>
          <w:szCs w:val="24"/>
        </w:rPr>
      </w:pPr>
      <w:r>
        <w:rPr>
          <w:rFonts w:asciiTheme="majorBidi" w:hAnsiTheme="majorBidi" w:cstheme="majorBidi"/>
          <w:b/>
          <w:bCs/>
          <w:sz w:val="24"/>
          <w:szCs w:val="24"/>
        </w:rPr>
        <w:t>Conclusions</w:t>
      </w:r>
    </w:p>
    <w:p w14:paraId="6E2EAF5C">
      <w:pPr>
        <w:spacing w:line="480" w:lineRule="auto"/>
        <w:jc w:val="both"/>
        <w:rPr>
          <w:rFonts w:asciiTheme="majorBidi" w:hAnsiTheme="majorBidi" w:cstheme="majorBidi"/>
          <w:bCs/>
          <w:sz w:val="24"/>
          <w:szCs w:val="24"/>
          <w:lang w:val="en-US"/>
        </w:rPr>
      </w:pPr>
      <w:r>
        <w:rPr>
          <w:rFonts w:asciiTheme="majorBidi" w:hAnsiTheme="majorBidi" w:cstheme="majorBidi"/>
          <w:bCs/>
          <w:sz w:val="24"/>
          <w:szCs w:val="24"/>
          <w:lang w:val="en-US"/>
        </w:rPr>
        <w:t>This study demonstrates that non-classic biomarkers,  neutrophil CD64 expression, and their ratios, offer significant advantages for pediatric pneumonia diagnosis and prognosis assessment. The superior diagnostic performance of the neutrophil-to-lymphocyte CD64 ratio (AUC 0.97) suggests its potential as a premier biomarker for clinical implementation. These findings support the integration of immune response markers into pediatric pneumonia management protocols, potentially improving early diagnosis, risk stratification, and clinical outcomes.</w:t>
      </w:r>
    </w:p>
    <w:p w14:paraId="100A4014">
      <w:pPr>
        <w:spacing w:line="480" w:lineRule="auto"/>
        <w:rPr>
          <w:rFonts w:eastAsia="Calibri" w:asciiTheme="majorBidi" w:hAnsiTheme="majorBidi" w:cstheme="majorBidi"/>
          <w:b/>
          <w:bCs/>
          <w:sz w:val="24"/>
          <w:szCs w:val="24"/>
          <w:lang w:val="en-US"/>
        </w:rPr>
      </w:pPr>
      <w:r>
        <w:rPr>
          <w:rFonts w:eastAsia="Calibri" w:asciiTheme="majorBidi" w:hAnsiTheme="majorBidi" w:cstheme="majorBidi"/>
          <w:b/>
          <w:bCs/>
          <w:sz w:val="24"/>
          <w:szCs w:val="24"/>
          <w:lang w:val="en-US"/>
        </w:rPr>
        <w:t>Availability of Data and Materials:</w:t>
      </w:r>
    </w:p>
    <w:p w14:paraId="74490938">
      <w:pPr>
        <w:spacing w:line="480" w:lineRule="auto"/>
        <w:rPr>
          <w:rFonts w:eastAsia="Calibri" w:asciiTheme="majorBidi" w:hAnsiTheme="majorBidi" w:cstheme="majorBidi"/>
          <w:sz w:val="24"/>
          <w:szCs w:val="24"/>
          <w:lang w:val="en-US"/>
        </w:rPr>
      </w:pPr>
      <w:r>
        <w:rPr>
          <w:rFonts w:eastAsia="Calibri" w:asciiTheme="majorBidi" w:hAnsiTheme="majorBidi" w:cstheme="majorBidi"/>
          <w:sz w:val="24"/>
          <w:szCs w:val="24"/>
          <w:lang w:val="en-US"/>
        </w:rPr>
        <w:t>The corresponding author can be contacted to request the data set of this work.</w:t>
      </w:r>
    </w:p>
    <w:p w14:paraId="30F38DE6">
      <w:pPr>
        <w:spacing w:line="480" w:lineRule="auto"/>
        <w:rPr>
          <w:rFonts w:eastAsia="Calibri" w:asciiTheme="majorBidi" w:hAnsiTheme="majorBidi" w:cstheme="majorBidi"/>
          <w:sz w:val="24"/>
          <w:szCs w:val="24"/>
          <w:lang w:val="en-US"/>
        </w:rPr>
      </w:pPr>
      <w:r>
        <w:rPr>
          <w:rFonts w:eastAsia="Calibri" w:asciiTheme="majorBidi" w:hAnsiTheme="majorBidi" w:cstheme="majorBidi"/>
          <w:b/>
          <w:bCs/>
          <w:sz w:val="24"/>
          <w:szCs w:val="24"/>
          <w:lang w:val="en-US"/>
        </w:rPr>
        <w:t>Declaration of Conflicting Interests:</w:t>
      </w:r>
      <w:r>
        <w:rPr>
          <w:rFonts w:eastAsia="Calibri" w:asciiTheme="majorBidi" w:hAnsiTheme="majorBidi" w:cstheme="majorBidi"/>
          <w:sz w:val="24"/>
          <w:szCs w:val="24"/>
          <w:lang w:val="en-US"/>
        </w:rPr>
        <w:t xml:space="preserve"> No conflicts of interest have been revealed about this article's research, authorship, or publishing.</w:t>
      </w:r>
    </w:p>
    <w:p w14:paraId="0A978168">
      <w:pPr>
        <w:spacing w:line="480" w:lineRule="auto"/>
        <w:rPr>
          <w:rFonts w:eastAsia="Calibri" w:asciiTheme="majorBidi" w:hAnsiTheme="majorBidi" w:cstheme="majorBidi"/>
          <w:sz w:val="24"/>
          <w:szCs w:val="24"/>
          <w:lang w:val="en-US"/>
        </w:rPr>
      </w:pPr>
      <w:r>
        <w:rPr>
          <w:rFonts w:eastAsia="Calibri" w:asciiTheme="majorBidi" w:hAnsiTheme="majorBidi" w:cstheme="majorBidi"/>
          <w:b/>
          <w:bCs/>
          <w:sz w:val="24"/>
          <w:szCs w:val="24"/>
          <w:lang w:val="en-US"/>
        </w:rPr>
        <w:t>Funding:</w:t>
      </w:r>
      <w:r>
        <w:rPr>
          <w:rFonts w:eastAsia="Calibri" w:asciiTheme="majorBidi" w:hAnsiTheme="majorBidi" w:cstheme="majorBidi"/>
          <w:sz w:val="24"/>
          <w:szCs w:val="24"/>
          <w:lang w:val="en-US"/>
        </w:rPr>
        <w:t xml:space="preserve"> The authors received no financial support for this article's research, authorship, and/or publication.</w:t>
      </w:r>
    </w:p>
    <w:p w14:paraId="714C25E1">
      <w:pPr>
        <w:spacing w:line="480" w:lineRule="auto"/>
        <w:rPr>
          <w:rFonts w:eastAsia="Calibri" w:asciiTheme="majorBidi" w:hAnsiTheme="majorBidi" w:cstheme="majorBidi"/>
          <w:sz w:val="24"/>
          <w:szCs w:val="24"/>
          <w:lang w:val="en-US"/>
        </w:rPr>
      </w:pPr>
    </w:p>
    <w:p w14:paraId="1156244C">
      <w:pPr>
        <w:spacing w:line="480" w:lineRule="auto"/>
        <w:rPr>
          <w:rFonts w:eastAsia="Calibri" w:asciiTheme="majorBidi" w:hAnsiTheme="majorBidi" w:cstheme="majorBidi"/>
          <w:sz w:val="24"/>
          <w:szCs w:val="24"/>
          <w:lang w:val="en-US"/>
        </w:rPr>
      </w:pPr>
    </w:p>
    <w:p w14:paraId="30BB3F51">
      <w:pPr>
        <w:spacing w:line="480" w:lineRule="auto"/>
        <w:rPr>
          <w:rFonts w:eastAsia="Calibri" w:asciiTheme="minorBidi" w:hAnsiTheme="minorBidi"/>
          <w:lang w:val="en-US"/>
        </w:rPr>
        <w:sectPr>
          <w:pgSz w:w="12240" w:h="15840"/>
          <w:pgMar w:top="1440" w:right="1302" w:bottom="1440" w:left="1440" w:header="709" w:footer="709" w:gutter="0"/>
          <w:cols w:space="708" w:num="1"/>
          <w:docGrid w:linePitch="360" w:charSpace="0"/>
        </w:sectPr>
      </w:pPr>
    </w:p>
    <w:p w14:paraId="1A78D9C0">
      <w:pPr>
        <w:widowControl w:val="0"/>
        <w:autoSpaceDE w:val="0"/>
        <w:autoSpaceDN w:val="0"/>
        <w:adjustRightInd w:val="0"/>
        <w:spacing w:after="0" w:line="480" w:lineRule="auto"/>
        <w:jc w:val="both"/>
        <w:rPr>
          <w:rFonts w:eastAsia="Calibri" w:asciiTheme="minorBidi" w:hAnsiTheme="minorBidi"/>
          <w:bCs/>
        </w:rPr>
      </w:pPr>
      <w:r>
        <w:rPr>
          <w:rFonts w:eastAsia="Calibri" w:asciiTheme="minorBidi" w:hAnsiTheme="minorBidi"/>
          <w:b/>
          <w:lang w:val="en-US"/>
        </w:rPr>
        <w:t>References</w:t>
      </w:r>
    </w:p>
    <w:p w14:paraId="29464DA1">
      <w:pPr>
        <w:numPr>
          <w:ilvl w:val="0"/>
          <w:numId w:val="1"/>
        </w:numPr>
        <w:spacing w:line="480" w:lineRule="auto"/>
        <w:jc w:val="both"/>
        <w:rPr>
          <w:rFonts w:asciiTheme="minorBidi" w:hAnsiTheme="minorBidi"/>
          <w:lang w:val="en-US"/>
        </w:rPr>
      </w:pPr>
      <w:r>
        <w:rPr>
          <w:rFonts w:asciiTheme="minorBidi" w:hAnsiTheme="minorBidi"/>
          <w:lang w:val="en-US"/>
        </w:rPr>
        <w:t>Yadav KK, Awasthi S. Childhood pneumonia: What's unchanged, and what's new? Indian journal of pediatrics. 2023;90(7):693-9.</w:t>
      </w:r>
    </w:p>
    <w:p w14:paraId="091CD9C8">
      <w:pPr>
        <w:numPr>
          <w:ilvl w:val="0"/>
          <w:numId w:val="1"/>
        </w:numPr>
        <w:spacing w:line="480" w:lineRule="auto"/>
        <w:jc w:val="both"/>
        <w:rPr>
          <w:rFonts w:asciiTheme="minorBidi" w:hAnsiTheme="minorBidi"/>
          <w:lang w:val="en-US"/>
        </w:rPr>
      </w:pPr>
      <w:r>
        <w:rPr>
          <w:rFonts w:asciiTheme="minorBidi" w:hAnsiTheme="minorBidi"/>
          <w:lang w:val="en-US"/>
        </w:rPr>
        <w:t>Li Y, Min L, Zhang X. Usefulness of procalcitonin (PCT), C-reactive protein (CRP), and white blood cell (WBC) levels in the differential diagnosis of acute bacterial, viral, and mycoplasmal respiratory tract infections in children. BMC Pulmonary Medicine. 2021;21:1-8.</w:t>
      </w:r>
    </w:p>
    <w:p w14:paraId="32DB7B4A">
      <w:pPr>
        <w:numPr>
          <w:ilvl w:val="0"/>
          <w:numId w:val="1"/>
        </w:numPr>
        <w:spacing w:line="480" w:lineRule="auto"/>
        <w:jc w:val="both"/>
        <w:rPr>
          <w:rFonts w:asciiTheme="minorBidi" w:hAnsiTheme="minorBidi"/>
          <w:lang w:val="en-US"/>
        </w:rPr>
      </w:pPr>
      <w:r>
        <w:rPr>
          <w:rFonts w:asciiTheme="minorBidi" w:hAnsiTheme="minorBidi"/>
          <w:lang w:val="en-US"/>
        </w:rPr>
        <w:t>Pratt MT, Abdalla T, Richmond PC, et al. Prevalence of respiratory viruses in community-acquired pneumonia in children: a systematic review and meta-analysis. The Lancet Child &amp; Adolescent Health. 2022;6(8):555-70.</w:t>
      </w:r>
    </w:p>
    <w:p w14:paraId="2915911D">
      <w:pPr>
        <w:numPr>
          <w:ilvl w:val="0"/>
          <w:numId w:val="1"/>
        </w:numPr>
        <w:spacing w:line="480" w:lineRule="auto"/>
        <w:jc w:val="both"/>
        <w:rPr>
          <w:rFonts w:asciiTheme="minorBidi" w:hAnsiTheme="minorBidi"/>
          <w:lang w:val="en-US"/>
        </w:rPr>
      </w:pPr>
      <w:r>
        <w:rPr>
          <w:rFonts w:asciiTheme="minorBidi" w:hAnsiTheme="minorBidi"/>
          <w:lang w:val="en-US"/>
        </w:rPr>
        <w:t>Mohsin Z, Hasan M, Ali H, Al-Saadi H. Comparison of blood biomarkers sTREM-1, C-reactive protein (CRP), CHI3L1 and WBC levels in pediatric patients with pneumonia. Polish Annals of Medicine. 2024;31(2).</w:t>
      </w:r>
    </w:p>
    <w:p w14:paraId="3B6CC719">
      <w:pPr>
        <w:numPr>
          <w:ilvl w:val="0"/>
          <w:numId w:val="1"/>
        </w:numPr>
        <w:spacing w:line="480" w:lineRule="auto"/>
        <w:jc w:val="both"/>
        <w:rPr>
          <w:rFonts w:asciiTheme="minorBidi" w:hAnsiTheme="minorBidi"/>
          <w:lang w:val="en-US"/>
        </w:rPr>
      </w:pPr>
      <w:r>
        <w:rPr>
          <w:rFonts w:asciiTheme="minorBidi" w:hAnsiTheme="minorBidi"/>
          <w:lang w:val="en-US"/>
        </w:rPr>
        <w:t>Ito A, Ishida T. Diagnostic markers for community-acquired pneumonia. Annals of translational medicine. 2020;8(9).</w:t>
      </w:r>
    </w:p>
    <w:p w14:paraId="571EE173">
      <w:pPr>
        <w:numPr>
          <w:ilvl w:val="0"/>
          <w:numId w:val="1"/>
        </w:numPr>
        <w:spacing w:line="480" w:lineRule="auto"/>
        <w:jc w:val="both"/>
        <w:rPr>
          <w:rFonts w:asciiTheme="minorBidi" w:hAnsiTheme="minorBidi"/>
          <w:lang w:val="en-US"/>
        </w:rPr>
      </w:pPr>
      <w:r>
        <w:rPr>
          <w:rFonts w:asciiTheme="minorBidi" w:hAnsiTheme="minorBidi"/>
          <w:lang w:val="en-US"/>
        </w:rPr>
        <w:t>Nayani K, Naeem R, Munir O, et al. The clinical respiratory score predicts paediatric critical care disposition in children with respiratory distress presenting to the emergency department. BMC pediatrics. 2018;18(1):339.</w:t>
      </w:r>
    </w:p>
    <w:p w14:paraId="56BBCAAC">
      <w:pPr>
        <w:numPr>
          <w:ilvl w:val="0"/>
          <w:numId w:val="1"/>
        </w:numPr>
        <w:spacing w:line="480" w:lineRule="auto"/>
        <w:jc w:val="both"/>
        <w:rPr>
          <w:rFonts w:asciiTheme="minorBidi" w:hAnsiTheme="minorBidi"/>
          <w:lang w:val="en-US"/>
        </w:rPr>
      </w:pPr>
      <w:r>
        <w:rPr>
          <w:rFonts w:asciiTheme="minorBidi" w:hAnsiTheme="minorBidi"/>
          <w:lang w:val="en-US"/>
        </w:rPr>
        <w:t>Florin TA, Ambroggio L, Brokamp C. Biomarkers and disease severity in children with community-acquired pneumonia. Pediatrics. 2020;145.</w:t>
      </w:r>
    </w:p>
    <w:p w14:paraId="7D5B16C7">
      <w:pPr>
        <w:numPr>
          <w:ilvl w:val="0"/>
          <w:numId w:val="1"/>
        </w:numPr>
        <w:spacing w:line="480" w:lineRule="auto"/>
        <w:jc w:val="both"/>
        <w:rPr>
          <w:rFonts w:asciiTheme="minorBidi" w:hAnsiTheme="minorBidi"/>
          <w:lang w:val="en-US"/>
        </w:rPr>
      </w:pPr>
      <w:r>
        <w:rPr>
          <w:rFonts w:asciiTheme="minorBidi" w:hAnsiTheme="minorBidi"/>
          <w:lang w:val="en-US"/>
        </w:rPr>
        <w:t>Meliyanti A, Rusmawatiningtyas D, Makrufardi F. Factors associated with mortality in pediatric pneumonia patients supported with mechanical ventilation in developing country. Heliyon. 2021;7.</w:t>
      </w:r>
    </w:p>
    <w:p w14:paraId="2A85B885">
      <w:pPr>
        <w:numPr>
          <w:ilvl w:val="0"/>
          <w:numId w:val="1"/>
        </w:numPr>
        <w:spacing w:line="480" w:lineRule="auto"/>
        <w:jc w:val="both"/>
        <w:rPr>
          <w:rFonts w:asciiTheme="minorBidi" w:hAnsiTheme="minorBidi"/>
          <w:lang w:val="en-US"/>
        </w:rPr>
      </w:pPr>
      <w:r>
        <w:rPr>
          <w:rFonts w:asciiTheme="minorBidi" w:hAnsiTheme="minorBidi"/>
          <w:lang w:val="en-US"/>
        </w:rPr>
        <w:t>Amin R, Verma R, Bai YQ. Incidence and mortality of children receiving home mechanical ventilation. Pediatrics. 2023;151:e2022059898.</w:t>
      </w:r>
    </w:p>
    <w:p w14:paraId="67049344">
      <w:pPr>
        <w:numPr>
          <w:ilvl w:val="0"/>
          <w:numId w:val="1"/>
        </w:numPr>
        <w:spacing w:line="480" w:lineRule="auto"/>
        <w:jc w:val="both"/>
        <w:rPr>
          <w:rFonts w:asciiTheme="minorBidi" w:hAnsiTheme="minorBidi"/>
          <w:lang w:val="en-US"/>
        </w:rPr>
      </w:pPr>
      <w:r>
        <w:rPr>
          <w:rFonts w:asciiTheme="minorBidi" w:hAnsiTheme="minorBidi"/>
          <w:lang w:val="en-US"/>
        </w:rPr>
        <w:t>Williams DJ, Gautam S, Creech CB. Transcriptomic Biomarkers Associated with Microbiological Etiology and Disease Severity in Childhood Pneumonia. J Infect Dis. 2024;jiae491.</w:t>
      </w:r>
    </w:p>
    <w:p w14:paraId="35928673">
      <w:pPr>
        <w:numPr>
          <w:ilvl w:val="0"/>
          <w:numId w:val="1"/>
        </w:numPr>
        <w:spacing w:line="480" w:lineRule="auto"/>
        <w:jc w:val="both"/>
        <w:rPr>
          <w:rFonts w:asciiTheme="minorBidi" w:hAnsiTheme="minorBidi"/>
          <w:lang w:val="en-US"/>
        </w:rPr>
      </w:pPr>
      <w:r>
        <w:rPr>
          <w:rFonts w:asciiTheme="minorBidi" w:hAnsiTheme="minorBidi"/>
          <w:lang w:val="en-US"/>
        </w:rPr>
        <w:t>Güven D, Kışlal FM. The diagnostic value of complete blood parameters in determining the severity of community-acquired pneumonia in children. J Health Sci Med. 2022;5:1592-1599.</w:t>
      </w:r>
    </w:p>
    <w:p w14:paraId="513CAF16">
      <w:pPr>
        <w:numPr>
          <w:ilvl w:val="0"/>
          <w:numId w:val="1"/>
        </w:numPr>
        <w:spacing w:line="480" w:lineRule="auto"/>
        <w:jc w:val="both"/>
        <w:rPr>
          <w:rFonts w:asciiTheme="minorBidi" w:hAnsiTheme="minorBidi"/>
          <w:lang w:val="en-US"/>
        </w:rPr>
      </w:pPr>
      <w:r>
        <w:rPr>
          <w:rFonts w:asciiTheme="minorBidi" w:hAnsiTheme="minorBidi"/>
          <w:lang w:val="en-US"/>
        </w:rPr>
        <w:t>Ruan J, Fu Z, Ying L. Clinical differences between Mycoplasma pneumoniae pneumonia and Streptococcus pneumoniae pneumonia: a case control study. Front Pediatr. 2024;12:1409687.</w:t>
      </w:r>
    </w:p>
    <w:p w14:paraId="2015B982">
      <w:pPr>
        <w:numPr>
          <w:ilvl w:val="0"/>
          <w:numId w:val="1"/>
        </w:numPr>
        <w:spacing w:line="480" w:lineRule="auto"/>
        <w:jc w:val="both"/>
        <w:rPr>
          <w:rFonts w:asciiTheme="minorBidi" w:hAnsiTheme="minorBidi"/>
          <w:lang w:val="en-US"/>
        </w:rPr>
      </w:pPr>
      <w:r>
        <w:rPr>
          <w:rFonts w:asciiTheme="minorBidi" w:hAnsiTheme="minorBidi"/>
          <w:lang w:val="en-US"/>
        </w:rPr>
        <w:t>Wrotek A, Robakiewicz J, Pawlik K. The etiology of community-acquired pneumonia correlates with serum inflammatory markers in children. J Clin Med. 2022;11:5506.</w:t>
      </w:r>
    </w:p>
    <w:p w14:paraId="7C7A73E2">
      <w:pPr>
        <w:numPr>
          <w:ilvl w:val="0"/>
          <w:numId w:val="1"/>
        </w:numPr>
        <w:spacing w:line="480" w:lineRule="auto"/>
        <w:jc w:val="both"/>
        <w:rPr>
          <w:rFonts w:asciiTheme="minorBidi" w:hAnsiTheme="minorBidi"/>
          <w:lang w:val="en-US"/>
        </w:rPr>
      </w:pPr>
      <w:r>
        <w:rPr>
          <w:rFonts w:asciiTheme="minorBidi" w:hAnsiTheme="minorBidi"/>
          <w:lang w:val="en-US"/>
        </w:rPr>
        <w:t>Ayaz N, Ilyas A, Iqbal A. Evaluating the diagnostic accuracy of C-reactive protein in diagnosing pneumonia in children using blood culture as the gold standard. Pak J Health Sci. 2024;93-97.</w:t>
      </w:r>
    </w:p>
    <w:p w14:paraId="00BCA622">
      <w:pPr>
        <w:numPr>
          <w:ilvl w:val="0"/>
          <w:numId w:val="1"/>
        </w:numPr>
        <w:spacing w:line="480" w:lineRule="auto"/>
        <w:jc w:val="both"/>
        <w:rPr>
          <w:rFonts w:asciiTheme="minorBidi" w:hAnsiTheme="minorBidi"/>
          <w:lang w:val="en-US"/>
        </w:rPr>
      </w:pPr>
      <w:r>
        <w:rPr>
          <w:rFonts w:asciiTheme="minorBidi" w:hAnsiTheme="minorBidi"/>
          <w:lang w:val="en-US"/>
        </w:rPr>
        <w:t>Principi N, Esposito S. Biomarkers in pediatric community-acquired pneumonia. Int J Mol Sci. 2017;18:447.</w:t>
      </w:r>
    </w:p>
    <w:p w14:paraId="603E11BC">
      <w:pPr>
        <w:numPr>
          <w:ilvl w:val="0"/>
          <w:numId w:val="1"/>
        </w:numPr>
        <w:spacing w:line="480" w:lineRule="auto"/>
        <w:jc w:val="both"/>
        <w:rPr>
          <w:rFonts w:asciiTheme="minorBidi" w:hAnsiTheme="minorBidi"/>
          <w:lang w:val="en-US"/>
        </w:rPr>
      </w:pPr>
      <w:r>
        <w:rPr>
          <w:rFonts w:asciiTheme="minorBidi" w:hAnsiTheme="minorBidi"/>
          <w:lang w:val="en-US"/>
        </w:rPr>
        <w:t>Ramgopal S, Ambroggio L, Lorenz D. Incorporation of biomarkers into a prediction model for paediatric radiographic pneumonia. ERJ Open Res. 2023;9.</w:t>
      </w:r>
    </w:p>
    <w:p w14:paraId="483B39A8">
      <w:pPr>
        <w:numPr>
          <w:ilvl w:val="0"/>
          <w:numId w:val="1"/>
        </w:numPr>
        <w:spacing w:line="480" w:lineRule="auto"/>
        <w:jc w:val="both"/>
        <w:rPr>
          <w:rFonts w:asciiTheme="minorBidi" w:hAnsiTheme="minorBidi"/>
          <w:lang w:val="en-US"/>
        </w:rPr>
      </w:pPr>
      <w:r>
        <w:rPr>
          <w:rFonts w:asciiTheme="minorBidi" w:hAnsiTheme="minorBidi"/>
          <w:lang w:val="en-US"/>
        </w:rPr>
        <w:t>Labib JR, Ibrahem SK, Ismail MM. Vitamin D supplementation and improvement of pneumonic children at a tertiary pediatric hospital in Egypt: A randomized controlled trial. Medicine. 2021;100:e25011.</w:t>
      </w:r>
    </w:p>
    <w:p w14:paraId="231FB79A">
      <w:pPr>
        <w:numPr>
          <w:ilvl w:val="0"/>
          <w:numId w:val="1"/>
        </w:numPr>
        <w:spacing w:line="480" w:lineRule="auto"/>
        <w:jc w:val="both"/>
        <w:rPr>
          <w:rFonts w:asciiTheme="minorBidi" w:hAnsiTheme="minorBidi"/>
          <w:lang w:val="en-US"/>
        </w:rPr>
      </w:pPr>
      <w:r>
        <w:rPr>
          <w:rFonts w:asciiTheme="minorBidi" w:hAnsiTheme="minorBidi"/>
          <w:lang w:val="en-US"/>
        </w:rPr>
        <w:t>Saied A, El Borolossy RM, Ramzy MA. Effect of zinc versus vitamin A supplementation on pediatric patients with community-acquired pneumonia. Front Pharmacol. 2022;13:933998.</w:t>
      </w:r>
    </w:p>
    <w:p w14:paraId="12D3530F">
      <w:pPr>
        <w:numPr>
          <w:ilvl w:val="0"/>
          <w:numId w:val="1"/>
        </w:numPr>
        <w:spacing w:line="480" w:lineRule="auto"/>
        <w:jc w:val="both"/>
        <w:rPr>
          <w:rFonts w:asciiTheme="minorBidi" w:hAnsiTheme="minorBidi"/>
          <w:lang w:val="en-US"/>
        </w:rPr>
      </w:pPr>
      <w:r>
        <w:rPr>
          <w:rFonts w:asciiTheme="minorBidi" w:hAnsiTheme="minorBidi"/>
          <w:lang w:val="en-US"/>
        </w:rPr>
        <w:t>Malchrzak W, Babicki M, Mastalerz-Migas A. Vaccination against Streptococcus pneumoniae in Children Born between 2015 and 2018 in Poland—How Has the Introduction of Free Compulsory Pneumococcal Vaccination Affected Its Uptake? Vaccines. 2023;11:1654.</w:t>
      </w:r>
    </w:p>
    <w:p w14:paraId="50261E32">
      <w:pPr>
        <w:numPr>
          <w:ilvl w:val="0"/>
          <w:numId w:val="1"/>
        </w:numPr>
        <w:spacing w:line="480" w:lineRule="auto"/>
        <w:jc w:val="both"/>
        <w:rPr>
          <w:rFonts w:asciiTheme="minorBidi" w:hAnsiTheme="minorBidi"/>
          <w:lang w:val="en-US"/>
        </w:rPr>
      </w:pPr>
      <w:r>
        <w:rPr>
          <w:rFonts w:asciiTheme="minorBidi" w:hAnsiTheme="minorBidi"/>
          <w:lang w:val="en-US"/>
        </w:rPr>
        <w:t>Tian J, Zheng B, Yang L. Effectiveness of 13-valent pneumococcal conjugate vaccine on all-cause pneumonia in children under 5 years in Shanghai, China: An observational study. Vaccine. 2023;41:5979-5986.</w:t>
      </w:r>
    </w:p>
    <w:p w14:paraId="61614365">
      <w:pPr>
        <w:numPr>
          <w:ilvl w:val="0"/>
          <w:numId w:val="1"/>
        </w:numPr>
        <w:spacing w:line="480" w:lineRule="auto"/>
        <w:jc w:val="both"/>
        <w:rPr>
          <w:rFonts w:asciiTheme="minorBidi" w:hAnsiTheme="minorBidi"/>
          <w:lang w:val="en-US"/>
        </w:rPr>
      </w:pPr>
      <w:r>
        <w:rPr>
          <w:rFonts w:asciiTheme="minorBidi" w:hAnsiTheme="minorBidi"/>
          <w:lang w:val="en-US"/>
        </w:rPr>
        <w:t>Goodman D, Crocker ME, Pervaiz F. Challenges in the diagnosis of paediatric pneumonia in intervention field trials: recommendations from a pneumonia field trial working group. Lancet Respir Med. 2019;7:1068-1083.</w:t>
      </w:r>
    </w:p>
    <w:p w14:paraId="6B6374B9">
      <w:pPr>
        <w:numPr>
          <w:ilvl w:val="0"/>
          <w:numId w:val="1"/>
        </w:numPr>
        <w:spacing w:line="480" w:lineRule="auto"/>
        <w:jc w:val="both"/>
        <w:rPr>
          <w:rFonts w:asciiTheme="minorBidi" w:hAnsiTheme="minorBidi"/>
          <w:lang w:val="en-US"/>
        </w:rPr>
      </w:pPr>
      <w:r>
        <w:rPr>
          <w:rFonts w:asciiTheme="minorBidi" w:hAnsiTheme="minorBidi"/>
          <w:lang w:val="en-US"/>
        </w:rPr>
        <w:t>Thompson M, Mayon-White R, Harnden A. Using vital signs to assess children with acute infections: a survey of current practice. Br J Gen Pract. 2018;58:236-241.</w:t>
      </w:r>
    </w:p>
    <w:p w14:paraId="6181C0C9">
      <w:pPr>
        <w:numPr>
          <w:ilvl w:val="0"/>
          <w:numId w:val="1"/>
        </w:numPr>
        <w:spacing w:line="480" w:lineRule="auto"/>
        <w:jc w:val="both"/>
        <w:rPr>
          <w:rFonts w:asciiTheme="minorBidi" w:hAnsiTheme="minorBidi"/>
          <w:lang w:val="en-US"/>
        </w:rPr>
      </w:pPr>
      <w:r>
        <w:rPr>
          <w:rFonts w:asciiTheme="minorBidi" w:hAnsiTheme="minorBidi"/>
          <w:lang w:val="en-US"/>
        </w:rPr>
        <w:t>Koh JWJ, Wong JJM, Sultana R. Risk factors for mortality in children with pneumonia admitted to the pediatric intensive care unit. Pediatr Pulmonol. 2017;52:1076-1084.</w:t>
      </w:r>
    </w:p>
    <w:p w14:paraId="49CDC84B">
      <w:pPr>
        <w:numPr>
          <w:ilvl w:val="0"/>
          <w:numId w:val="1"/>
        </w:numPr>
        <w:spacing w:line="480" w:lineRule="auto"/>
        <w:jc w:val="both"/>
        <w:rPr>
          <w:rFonts w:asciiTheme="minorBidi" w:hAnsiTheme="minorBidi"/>
          <w:lang w:val="en-US"/>
        </w:rPr>
      </w:pPr>
      <w:r>
        <w:rPr>
          <w:rFonts w:asciiTheme="minorBidi" w:hAnsiTheme="minorBidi"/>
          <w:lang w:val="en-US"/>
        </w:rPr>
        <w:t>Uwaezuoke SN, Ayuk AC. Prognostic scores and biomarkers for pediatric community-acquired pneumonia: how far have we come? Pediatr Health Med Ther. 2017;9-18.</w:t>
      </w:r>
    </w:p>
    <w:p w14:paraId="7689C6F3">
      <w:pPr>
        <w:spacing w:line="480" w:lineRule="auto"/>
        <w:rPr>
          <w:rFonts w:asciiTheme="minorBidi" w:hAnsiTheme="minorBidi"/>
        </w:rPr>
      </w:pPr>
    </w:p>
    <w:p w14:paraId="1EA25316"/>
    <w:p w14:paraId="545A41BE"/>
    <w:p w14:paraId="2598EC31"/>
    <w:sectPr>
      <w:pgSz w:w="12240" w:h="15840"/>
      <w:pgMar w:top="1440" w:right="1302" w:bottom="1440" w:left="144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roman"/>
    <w:pitch w:val="default"/>
    <w:sig w:usb0="00000000" w:usb1="00000000" w:usb2="00000010" w:usb3="00000000" w:csb0="00020000" w:csb1="0000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HAnsi" w:hAnsiTheme="majorHAnsi" w:eastAsiaTheme="majorEastAsia" w:cstheme="majorBidi"/>
        <w:sz w:val="28"/>
        <w:szCs w:val="28"/>
      </w:rPr>
      <w:id w:val="-1540436633"/>
      <w:docPartObj>
        <w:docPartGallery w:val="autotext"/>
      </w:docPartObj>
    </w:sdtPr>
    <w:sdtEndPr>
      <w:rPr>
        <w:rFonts w:asciiTheme="majorHAnsi" w:hAnsiTheme="majorHAnsi" w:eastAsiaTheme="majorEastAsia" w:cstheme="majorBidi"/>
        <w:sz w:val="28"/>
        <w:szCs w:val="28"/>
      </w:rPr>
    </w:sdtEndPr>
    <w:sdtContent>
      <w:p w14:paraId="14688DFA">
        <w:pPr>
          <w:pStyle w:val="15"/>
          <w:jc w:val="center"/>
          <w:rPr>
            <w:rFonts w:asciiTheme="majorHAnsi" w:hAnsiTheme="majorHAnsi" w:eastAsiaTheme="majorEastAsia" w:cstheme="majorBidi"/>
            <w:sz w:val="28"/>
            <w:szCs w:val="28"/>
          </w:rPr>
        </w:pPr>
        <w:r>
          <w:rPr>
            <w:rFonts w:asciiTheme="majorHAnsi" w:hAnsiTheme="majorHAnsi" w:eastAsiaTheme="majorEastAsia" w:cstheme="majorBidi"/>
            <w:sz w:val="28"/>
            <w:szCs w:val="28"/>
          </w:rPr>
          <w:t xml:space="preserve">~ </w:t>
        </w:r>
        <w:r>
          <w:rPr>
            <w:rFonts w:cs="Times New Roman" w:eastAsiaTheme="minorEastAsia"/>
          </w:rPr>
          <w:fldChar w:fldCharType="begin"/>
        </w:r>
        <w:r>
          <w:instrText xml:space="preserve"> PAGE    \* MERGEFORMAT </w:instrText>
        </w:r>
        <w:r>
          <w:rPr>
            <w:rFonts w:cs="Times New Roman" w:eastAsiaTheme="minorEastAsia"/>
          </w:rPr>
          <w:fldChar w:fldCharType="separate"/>
        </w:r>
        <w:r>
          <w:rPr>
            <w:rFonts w:asciiTheme="majorHAnsi" w:hAnsiTheme="majorHAnsi" w:eastAsiaTheme="majorEastAsia" w:cstheme="majorBidi"/>
            <w:sz w:val="28"/>
            <w:szCs w:val="28"/>
          </w:rPr>
          <w:t>20</w:t>
        </w:r>
        <w:r>
          <w:rPr>
            <w:rFonts w:asciiTheme="majorHAnsi" w:hAnsiTheme="majorHAnsi" w:eastAsiaTheme="majorEastAsia" w:cstheme="majorBidi"/>
            <w:sz w:val="28"/>
            <w:szCs w:val="28"/>
          </w:rPr>
          <w:fldChar w:fldCharType="end"/>
        </w:r>
        <w:r>
          <w:rPr>
            <w:rFonts w:asciiTheme="majorHAnsi" w:hAnsiTheme="majorHAnsi" w:eastAsiaTheme="majorEastAsia" w:cstheme="majorBidi"/>
            <w:sz w:val="28"/>
            <w:szCs w:val="28"/>
          </w:rPr>
          <w:t xml:space="preserve"> ~</w:t>
        </w:r>
      </w:p>
    </w:sdtContent>
  </w:sdt>
  <w:p w14:paraId="0A1B5E0F">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0"/>
      </w:rPr>
      <w:id w:val="-1516528140"/>
      <w:docPartObj>
        <w:docPartGallery w:val="autotext"/>
      </w:docPartObj>
    </w:sdtPr>
    <w:sdtEndPr>
      <w:rPr>
        <w:rStyle w:val="20"/>
      </w:rPr>
    </w:sdtEndPr>
    <w:sdtContent>
      <w:p w14:paraId="61718122">
        <w:pPr>
          <w:pStyle w:val="15"/>
          <w:framePr w:wrap="auto" w:vAnchor="text" w:hAnchor="margin" w:xAlign="right" w:y="1"/>
          <w:rPr>
            <w:rStyle w:val="20"/>
          </w:rPr>
        </w:pPr>
        <w:r>
          <w:rPr>
            <w:rStyle w:val="20"/>
          </w:rPr>
          <w:fldChar w:fldCharType="begin"/>
        </w:r>
        <w:r>
          <w:rPr>
            <w:rStyle w:val="20"/>
          </w:rPr>
          <w:instrText xml:space="preserve"> PAGE </w:instrText>
        </w:r>
        <w:r>
          <w:rPr>
            <w:rStyle w:val="20"/>
          </w:rPr>
          <w:fldChar w:fldCharType="end"/>
        </w:r>
      </w:p>
    </w:sdtContent>
  </w:sdt>
  <w:sdt>
    <w:sdtPr>
      <w:rPr>
        <w:rStyle w:val="20"/>
      </w:rPr>
      <w:id w:val="1568227979"/>
      <w:docPartObj>
        <w:docPartGallery w:val="autotext"/>
      </w:docPartObj>
    </w:sdtPr>
    <w:sdtEndPr>
      <w:rPr>
        <w:rStyle w:val="20"/>
      </w:rPr>
    </w:sdtEndPr>
    <w:sdtContent>
      <w:p w14:paraId="5A73DA6E">
        <w:pPr>
          <w:pStyle w:val="15"/>
          <w:framePr w:wrap="auto" w:vAnchor="text" w:hAnchor="margin" w:xAlign="right" w:y="1"/>
          <w:ind w:right="360"/>
          <w:rPr>
            <w:rStyle w:val="20"/>
          </w:rPr>
        </w:pPr>
        <w:r>
          <w:rPr>
            <w:rStyle w:val="20"/>
          </w:rPr>
          <w:fldChar w:fldCharType="begin"/>
        </w:r>
        <w:r>
          <w:rPr>
            <w:rStyle w:val="20"/>
          </w:rPr>
          <w:instrText xml:space="preserve"> PAGE </w:instrText>
        </w:r>
        <w:r>
          <w:rPr>
            <w:rStyle w:val="20"/>
          </w:rPr>
          <w:fldChar w:fldCharType="end"/>
        </w:r>
      </w:p>
    </w:sdtContent>
  </w:sdt>
  <w:p w14:paraId="298F8913">
    <w:pPr>
      <w:pStyle w:val="1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F14268"/>
    <w:multiLevelType w:val="multilevel"/>
    <w:tmpl w:val="38F1426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FB4348"/>
    <w:rsid w:val="000F2791"/>
    <w:rsid w:val="001C628D"/>
    <w:rsid w:val="0021071B"/>
    <w:rsid w:val="003C20BA"/>
    <w:rsid w:val="003F6103"/>
    <w:rsid w:val="00446749"/>
    <w:rsid w:val="005E1381"/>
    <w:rsid w:val="006711CF"/>
    <w:rsid w:val="006A1A94"/>
    <w:rsid w:val="0075682C"/>
    <w:rsid w:val="00815D89"/>
    <w:rsid w:val="00901C24"/>
    <w:rsid w:val="009339AA"/>
    <w:rsid w:val="009A0DA0"/>
    <w:rsid w:val="009C4263"/>
    <w:rsid w:val="00A454AE"/>
    <w:rsid w:val="00BD334E"/>
    <w:rsid w:val="00D92A95"/>
    <w:rsid w:val="00DE58BB"/>
    <w:rsid w:val="00EC773E"/>
    <w:rsid w:val="00FB4348"/>
    <w:rsid w:val="00FC49DA"/>
    <w:rsid w:val="08F66E77"/>
    <w:rsid w:val="1B8D78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CA" w:eastAsia="en-US" w:bidi="ar-SA"/>
    </w:rPr>
  </w:style>
  <w:style w:type="paragraph" w:styleId="2">
    <w:name w:val="heading 1"/>
    <w:basedOn w:val="1"/>
    <w:next w:val="1"/>
    <w:link w:val="24"/>
    <w:qFormat/>
    <w:uiPriority w:val="9"/>
    <w:pPr>
      <w:keepNext/>
      <w:keepLines/>
      <w:spacing w:before="480" w:after="0"/>
      <w:outlineLvl w:val="0"/>
    </w:pPr>
    <w:rPr>
      <w:rFonts w:asciiTheme="majorHAnsi" w:hAnsiTheme="majorHAnsi" w:eastAsiaTheme="majorEastAsia" w:cstheme="majorBidi"/>
      <w:b/>
      <w:bCs/>
      <w:color w:val="345B8A" w:themeColor="accent1" w:themeShade="B5"/>
      <w:sz w:val="32"/>
      <w:szCs w:val="32"/>
    </w:rPr>
  </w:style>
  <w:style w:type="paragraph" w:styleId="3">
    <w:name w:val="heading 2"/>
    <w:basedOn w:val="1"/>
    <w:next w:val="1"/>
    <w:link w:val="25"/>
    <w:semiHidden/>
    <w:unhideWhenUsed/>
    <w:qFormat/>
    <w:uiPriority w:val="9"/>
    <w:pPr>
      <w:keepNext/>
      <w:keepLines/>
      <w:spacing w:before="40" w:after="0"/>
      <w:outlineLvl w:val="1"/>
    </w:pPr>
    <w:rPr>
      <w:rFonts w:asciiTheme="majorHAnsi" w:hAnsiTheme="majorHAnsi" w:eastAsiaTheme="majorEastAsia" w:cstheme="majorBidi"/>
      <w:color w:val="376092" w:themeColor="accent1" w:themeShade="BF"/>
      <w:sz w:val="26"/>
      <w:szCs w:val="26"/>
    </w:rPr>
  </w:style>
  <w:style w:type="paragraph" w:styleId="4">
    <w:name w:val="heading 3"/>
    <w:basedOn w:val="1"/>
    <w:next w:val="1"/>
    <w:link w:val="26"/>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27"/>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6"/>
    <w:basedOn w:val="1"/>
    <w:next w:val="1"/>
    <w:link w:val="28"/>
    <w:unhideWhenUsed/>
    <w:qFormat/>
    <w:uiPriority w:val="9"/>
    <w:pPr>
      <w:keepNext/>
      <w:keepLines/>
      <w:spacing w:before="40" w:after="0"/>
      <w:outlineLvl w:val="5"/>
    </w:pPr>
    <w:rPr>
      <w:rFonts w:asciiTheme="majorHAnsi" w:hAnsiTheme="majorHAnsi" w:eastAsiaTheme="majorEastAsia" w:cstheme="majorBidi"/>
      <w:color w:val="254061" w:themeColor="accent1" w:themeShade="80"/>
    </w:rPr>
  </w:style>
  <w:style w:type="character" w:default="1" w:styleId="7">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9">
    <w:name w:val="Balloon Text"/>
    <w:basedOn w:val="1"/>
    <w:link w:val="34"/>
    <w:semiHidden/>
    <w:unhideWhenUsed/>
    <w:qFormat/>
    <w:uiPriority w:val="99"/>
    <w:pPr>
      <w:spacing w:after="0" w:line="240" w:lineRule="auto"/>
    </w:pPr>
    <w:rPr>
      <w:rFonts w:ascii="Segoe UI" w:hAnsi="Segoe UI" w:cs="Segoe UI"/>
      <w:sz w:val="18"/>
      <w:szCs w:val="18"/>
    </w:rPr>
  </w:style>
  <w:style w:type="paragraph" w:styleId="10">
    <w:name w:val="Body Text"/>
    <w:basedOn w:val="1"/>
    <w:link w:val="49"/>
    <w:qFormat/>
    <w:uiPriority w:val="1"/>
    <w:pPr>
      <w:widowControl w:val="0"/>
      <w:autoSpaceDE w:val="0"/>
      <w:autoSpaceDN w:val="0"/>
      <w:spacing w:after="0" w:line="240" w:lineRule="auto"/>
    </w:pPr>
    <w:rPr>
      <w:rFonts w:ascii="Times New Roman" w:hAnsi="Times New Roman" w:eastAsia="Times New Roman" w:cs="Times New Roman"/>
      <w:sz w:val="28"/>
      <w:szCs w:val="28"/>
      <w:lang w:val="en-US"/>
    </w:rPr>
  </w:style>
  <w:style w:type="paragraph" w:styleId="11">
    <w:name w:val="caption"/>
    <w:basedOn w:val="1"/>
    <w:next w:val="1"/>
    <w:unhideWhenUsed/>
    <w:qFormat/>
    <w:uiPriority w:val="35"/>
    <w:pPr>
      <w:keepNext/>
      <w:spacing w:after="200" w:line="240" w:lineRule="auto"/>
    </w:pPr>
    <w:rPr>
      <w:rFonts w:asciiTheme="majorBidi" w:hAnsiTheme="majorBidi" w:cstheme="majorBidi"/>
      <w:b/>
      <w:bCs/>
      <w:sz w:val="24"/>
      <w:szCs w:val="24"/>
    </w:rPr>
  </w:style>
  <w:style w:type="character" w:styleId="12">
    <w:name w:val="annotation reference"/>
    <w:basedOn w:val="7"/>
    <w:semiHidden/>
    <w:unhideWhenUsed/>
    <w:qFormat/>
    <w:uiPriority w:val="99"/>
    <w:rPr>
      <w:sz w:val="16"/>
      <w:szCs w:val="16"/>
    </w:rPr>
  </w:style>
  <w:style w:type="paragraph" w:styleId="13">
    <w:name w:val="annotation text"/>
    <w:basedOn w:val="1"/>
    <w:link w:val="32"/>
    <w:semiHidden/>
    <w:unhideWhenUsed/>
    <w:qFormat/>
    <w:uiPriority w:val="99"/>
    <w:pPr>
      <w:spacing w:line="240" w:lineRule="auto"/>
    </w:pPr>
    <w:rPr>
      <w:sz w:val="20"/>
      <w:szCs w:val="20"/>
    </w:rPr>
  </w:style>
  <w:style w:type="paragraph" w:styleId="14">
    <w:name w:val="annotation subject"/>
    <w:basedOn w:val="13"/>
    <w:next w:val="13"/>
    <w:link w:val="33"/>
    <w:semiHidden/>
    <w:unhideWhenUsed/>
    <w:uiPriority w:val="99"/>
    <w:rPr>
      <w:b/>
      <w:bCs/>
    </w:rPr>
  </w:style>
  <w:style w:type="paragraph" w:styleId="15">
    <w:name w:val="footer"/>
    <w:basedOn w:val="1"/>
    <w:link w:val="31"/>
    <w:unhideWhenUsed/>
    <w:uiPriority w:val="99"/>
    <w:pPr>
      <w:tabs>
        <w:tab w:val="center" w:pos="4680"/>
        <w:tab w:val="right" w:pos="9360"/>
      </w:tabs>
      <w:spacing w:after="0" w:line="240" w:lineRule="auto"/>
    </w:pPr>
  </w:style>
  <w:style w:type="character" w:styleId="16">
    <w:name w:val="footnote reference"/>
    <w:basedOn w:val="7"/>
    <w:semiHidden/>
    <w:unhideWhenUsed/>
    <w:uiPriority w:val="99"/>
    <w:rPr>
      <w:vertAlign w:val="superscript"/>
    </w:rPr>
  </w:style>
  <w:style w:type="paragraph" w:styleId="17">
    <w:name w:val="footnote text"/>
    <w:basedOn w:val="1"/>
    <w:link w:val="36"/>
    <w:semiHidden/>
    <w:unhideWhenUsed/>
    <w:uiPriority w:val="99"/>
    <w:pPr>
      <w:spacing w:after="0" w:line="240" w:lineRule="auto"/>
    </w:pPr>
    <w:rPr>
      <w:sz w:val="20"/>
      <w:szCs w:val="20"/>
    </w:rPr>
  </w:style>
  <w:style w:type="paragraph" w:styleId="18">
    <w:name w:val="header"/>
    <w:basedOn w:val="1"/>
    <w:link w:val="30"/>
    <w:unhideWhenUsed/>
    <w:uiPriority w:val="99"/>
    <w:pPr>
      <w:tabs>
        <w:tab w:val="center" w:pos="4680"/>
        <w:tab w:val="right" w:pos="9360"/>
      </w:tabs>
      <w:spacing w:after="0" w:line="240" w:lineRule="auto"/>
    </w:pPr>
  </w:style>
  <w:style w:type="character" w:styleId="19">
    <w:name w:val="Hyperlink"/>
    <w:basedOn w:val="7"/>
    <w:unhideWhenUsed/>
    <w:uiPriority w:val="99"/>
    <w:rPr>
      <w:color w:val="0000FF" w:themeColor="hyperlink"/>
      <w:u w:val="single"/>
      <w14:textFill>
        <w14:solidFill>
          <w14:schemeClr w14:val="hlink"/>
        </w14:solidFill>
      </w14:textFill>
    </w:rPr>
  </w:style>
  <w:style w:type="character" w:styleId="20">
    <w:name w:val="page number"/>
    <w:basedOn w:val="7"/>
    <w:semiHidden/>
    <w:unhideWhenUsed/>
    <w:uiPriority w:val="99"/>
  </w:style>
  <w:style w:type="paragraph" w:styleId="21">
    <w:name w:val="Subtitle"/>
    <w:basedOn w:val="1"/>
    <w:next w:val="1"/>
    <w:link w:val="50"/>
    <w:qFormat/>
    <w:uiPriority w:val="11"/>
    <w:pPr>
      <w:widowControl w:val="0"/>
      <w:autoSpaceDE w:val="0"/>
      <w:autoSpaceDN w:val="0"/>
      <w:adjustRightInd w:val="0"/>
      <w:spacing w:after="0" w:line="480" w:lineRule="auto"/>
      <w:jc w:val="both"/>
    </w:pPr>
    <w:rPr>
      <w:rFonts w:eastAsia="Calibri" w:asciiTheme="majorBidi" w:hAnsiTheme="majorBidi" w:cstheme="majorBidi"/>
      <w:sz w:val="24"/>
      <w:szCs w:val="24"/>
      <w:lang w:val="en-US"/>
    </w:rPr>
  </w:style>
  <w:style w:type="table" w:styleId="22">
    <w:name w:val="Table Grid"/>
    <w:basedOn w:val="8"/>
    <w:uiPriority w:val="0"/>
    <w:rPr>
      <w:lang w:val="en-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Medium Shading 2 Accent 5"/>
    <w:basedOn w:val="8"/>
    <w:unhideWhenUsed/>
    <w:uiPriority w:val="64"/>
    <w:rPr>
      <w:lang w:val="en-CA"/>
    </w:r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character" w:customStyle="1" w:styleId="24">
    <w:name w:val="Heading 1 Char"/>
    <w:basedOn w:val="7"/>
    <w:link w:val="2"/>
    <w:uiPriority w:val="9"/>
    <w:rPr>
      <w:rFonts w:asciiTheme="majorHAnsi" w:hAnsiTheme="majorHAnsi" w:eastAsiaTheme="majorEastAsia" w:cstheme="majorBidi"/>
      <w:b/>
      <w:bCs/>
      <w:color w:val="345B8A" w:themeColor="accent1" w:themeShade="B5"/>
      <w:sz w:val="32"/>
      <w:szCs w:val="32"/>
      <w:lang w:val="en-CA"/>
    </w:rPr>
  </w:style>
  <w:style w:type="character" w:customStyle="1" w:styleId="25">
    <w:name w:val="Heading 2 Char"/>
    <w:basedOn w:val="7"/>
    <w:link w:val="3"/>
    <w:semiHidden/>
    <w:uiPriority w:val="9"/>
    <w:rPr>
      <w:rFonts w:asciiTheme="majorHAnsi" w:hAnsiTheme="majorHAnsi" w:eastAsiaTheme="majorEastAsia" w:cstheme="majorBidi"/>
      <w:color w:val="376092" w:themeColor="accent1" w:themeShade="BF"/>
      <w:sz w:val="26"/>
      <w:szCs w:val="26"/>
      <w:lang w:val="en-CA"/>
    </w:rPr>
  </w:style>
  <w:style w:type="character" w:customStyle="1" w:styleId="26">
    <w:name w:val="Heading 3 Char"/>
    <w:basedOn w:val="7"/>
    <w:link w:val="4"/>
    <w:semiHidden/>
    <w:uiPriority w:val="9"/>
    <w:rPr>
      <w:rFonts w:asciiTheme="majorHAnsi" w:hAnsiTheme="majorHAnsi" w:eastAsiaTheme="majorEastAsia" w:cstheme="majorBidi"/>
      <w:b/>
      <w:bCs/>
      <w:color w:val="4F81BD" w:themeColor="accent1"/>
      <w:lang w:val="en-CA"/>
      <w14:textFill>
        <w14:solidFill>
          <w14:schemeClr w14:val="accent1"/>
        </w14:solidFill>
      </w14:textFill>
    </w:rPr>
  </w:style>
  <w:style w:type="character" w:customStyle="1" w:styleId="27">
    <w:name w:val="Heading 4 Char"/>
    <w:basedOn w:val="7"/>
    <w:link w:val="5"/>
    <w:semiHidden/>
    <w:uiPriority w:val="9"/>
    <w:rPr>
      <w:rFonts w:asciiTheme="majorHAnsi" w:hAnsiTheme="majorHAnsi" w:eastAsiaTheme="majorEastAsia" w:cstheme="majorBidi"/>
      <w:b/>
      <w:bCs/>
      <w:i/>
      <w:iCs/>
      <w:color w:val="4F81BD" w:themeColor="accent1"/>
      <w:lang w:val="en-CA"/>
      <w14:textFill>
        <w14:solidFill>
          <w14:schemeClr w14:val="accent1"/>
        </w14:solidFill>
      </w14:textFill>
    </w:rPr>
  </w:style>
  <w:style w:type="character" w:customStyle="1" w:styleId="28">
    <w:name w:val="Heading 6 Char"/>
    <w:basedOn w:val="7"/>
    <w:link w:val="6"/>
    <w:uiPriority w:val="9"/>
    <w:rPr>
      <w:rFonts w:asciiTheme="majorHAnsi" w:hAnsiTheme="majorHAnsi" w:eastAsiaTheme="majorEastAsia" w:cstheme="majorBidi"/>
      <w:color w:val="254061" w:themeColor="accent1" w:themeShade="80"/>
      <w:lang w:val="en-CA"/>
    </w:rPr>
  </w:style>
  <w:style w:type="paragraph" w:styleId="29">
    <w:name w:val="List Paragraph"/>
    <w:basedOn w:val="1"/>
    <w:qFormat/>
    <w:uiPriority w:val="34"/>
    <w:pPr>
      <w:ind w:left="720"/>
      <w:contextualSpacing/>
    </w:pPr>
  </w:style>
  <w:style w:type="character" w:customStyle="1" w:styleId="30">
    <w:name w:val="Header Char"/>
    <w:basedOn w:val="7"/>
    <w:link w:val="18"/>
    <w:uiPriority w:val="99"/>
    <w:rPr>
      <w:lang w:val="en-CA"/>
    </w:rPr>
  </w:style>
  <w:style w:type="character" w:customStyle="1" w:styleId="31">
    <w:name w:val="Footer Char"/>
    <w:basedOn w:val="7"/>
    <w:link w:val="15"/>
    <w:uiPriority w:val="99"/>
    <w:rPr>
      <w:lang w:val="en-CA"/>
    </w:rPr>
  </w:style>
  <w:style w:type="character" w:customStyle="1" w:styleId="32">
    <w:name w:val="Comment Text Char"/>
    <w:basedOn w:val="7"/>
    <w:link w:val="13"/>
    <w:semiHidden/>
    <w:uiPriority w:val="99"/>
    <w:rPr>
      <w:sz w:val="20"/>
      <w:szCs w:val="20"/>
      <w:lang w:val="en-CA"/>
    </w:rPr>
  </w:style>
  <w:style w:type="character" w:customStyle="1" w:styleId="33">
    <w:name w:val="Comment Subject Char"/>
    <w:basedOn w:val="32"/>
    <w:link w:val="14"/>
    <w:semiHidden/>
    <w:uiPriority w:val="99"/>
    <w:rPr>
      <w:b/>
      <w:bCs/>
      <w:sz w:val="20"/>
      <w:szCs w:val="20"/>
      <w:lang w:val="en-CA"/>
    </w:rPr>
  </w:style>
  <w:style w:type="character" w:customStyle="1" w:styleId="34">
    <w:name w:val="Balloon Text Char"/>
    <w:basedOn w:val="7"/>
    <w:link w:val="9"/>
    <w:semiHidden/>
    <w:uiPriority w:val="99"/>
    <w:rPr>
      <w:rFonts w:ascii="Segoe UI" w:hAnsi="Segoe UI" w:cs="Segoe UI"/>
      <w:sz w:val="18"/>
      <w:szCs w:val="18"/>
      <w:lang w:val="en-CA"/>
    </w:rPr>
  </w:style>
  <w:style w:type="paragraph" w:customStyle="1" w:styleId="35">
    <w:name w:val="Revision1"/>
    <w:hidden/>
    <w:semiHidden/>
    <w:uiPriority w:val="99"/>
    <w:rPr>
      <w:rFonts w:asciiTheme="minorHAnsi" w:hAnsiTheme="minorHAnsi" w:eastAsiaTheme="minorHAnsi" w:cstheme="minorBidi"/>
      <w:sz w:val="22"/>
      <w:szCs w:val="22"/>
      <w:lang w:val="en-CA" w:eastAsia="en-US" w:bidi="ar-SA"/>
    </w:rPr>
  </w:style>
  <w:style w:type="character" w:customStyle="1" w:styleId="36">
    <w:name w:val="Footnote Text Char"/>
    <w:basedOn w:val="7"/>
    <w:link w:val="17"/>
    <w:semiHidden/>
    <w:uiPriority w:val="99"/>
    <w:rPr>
      <w:sz w:val="20"/>
      <w:szCs w:val="20"/>
      <w:lang w:val="en-CA"/>
    </w:rPr>
  </w:style>
  <w:style w:type="character" w:customStyle="1" w:styleId="37">
    <w:name w:val="Unresolved Mention1"/>
    <w:basedOn w:val="7"/>
    <w:semiHidden/>
    <w:unhideWhenUsed/>
    <w:uiPriority w:val="99"/>
    <w:rPr>
      <w:color w:val="605E5C"/>
      <w:shd w:val="clear" w:color="auto" w:fill="E1DFDD"/>
    </w:rPr>
  </w:style>
  <w:style w:type="character" w:customStyle="1" w:styleId="38">
    <w:name w:val="Unresolved Mention2"/>
    <w:basedOn w:val="7"/>
    <w:semiHidden/>
    <w:unhideWhenUsed/>
    <w:uiPriority w:val="99"/>
    <w:rPr>
      <w:color w:val="605E5C"/>
      <w:shd w:val="clear" w:color="auto" w:fill="E1DFDD"/>
    </w:rPr>
  </w:style>
  <w:style w:type="character" w:customStyle="1" w:styleId="39">
    <w:name w:val="None"/>
    <w:uiPriority w:val="0"/>
  </w:style>
  <w:style w:type="table" w:customStyle="1" w:styleId="40">
    <w:name w:val="Table Grid1"/>
    <w:basedOn w:val="8"/>
    <w:uiPriority w:val="39"/>
    <w:rPr>
      <w:lang w:val="en-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
    <w:name w:val="Medium Shading 2 - Accent 51"/>
    <w:basedOn w:val="8"/>
    <w:uiPriority w:val="64"/>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42">
    <w:name w:val="Table Grid7"/>
    <w:basedOn w:val="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3">
    <w:name w:val="EndNote Bibliography Title"/>
    <w:basedOn w:val="1"/>
    <w:link w:val="44"/>
    <w:qFormat/>
    <w:uiPriority w:val="0"/>
    <w:pPr>
      <w:spacing w:after="0"/>
      <w:jc w:val="center"/>
    </w:pPr>
    <w:rPr>
      <w:rFonts w:ascii="Calibri" w:hAnsi="Calibri" w:cs="Calibri"/>
      <w:lang w:val="en-US"/>
    </w:rPr>
  </w:style>
  <w:style w:type="character" w:customStyle="1" w:styleId="44">
    <w:name w:val="EndNote Bibliography Title Char"/>
    <w:basedOn w:val="7"/>
    <w:link w:val="43"/>
    <w:qFormat/>
    <w:uiPriority w:val="0"/>
    <w:rPr>
      <w:rFonts w:ascii="Calibri" w:hAnsi="Calibri" w:cs="Calibri"/>
    </w:rPr>
  </w:style>
  <w:style w:type="paragraph" w:customStyle="1" w:styleId="45">
    <w:name w:val="EndNote Bibliography"/>
    <w:basedOn w:val="1"/>
    <w:link w:val="46"/>
    <w:qFormat/>
    <w:uiPriority w:val="0"/>
    <w:pPr>
      <w:spacing w:line="240" w:lineRule="auto"/>
      <w:jc w:val="both"/>
    </w:pPr>
    <w:rPr>
      <w:rFonts w:ascii="Calibri" w:hAnsi="Calibri" w:cs="Calibri"/>
      <w:lang w:val="en-US"/>
    </w:rPr>
  </w:style>
  <w:style w:type="character" w:customStyle="1" w:styleId="46">
    <w:name w:val="EndNote Bibliography Char"/>
    <w:basedOn w:val="7"/>
    <w:link w:val="45"/>
    <w:qFormat/>
    <w:uiPriority w:val="0"/>
    <w:rPr>
      <w:rFonts w:ascii="Calibri" w:hAnsi="Calibri" w:cs="Calibri"/>
    </w:rPr>
  </w:style>
  <w:style w:type="table" w:customStyle="1" w:styleId="47">
    <w:name w:val="Table Grid2"/>
    <w:basedOn w:val="8"/>
    <w:qFormat/>
    <w:uiPriority w:val="59"/>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8">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en-US"/>
    </w:rPr>
  </w:style>
  <w:style w:type="character" w:customStyle="1" w:styleId="49">
    <w:name w:val="Body Text Char"/>
    <w:basedOn w:val="7"/>
    <w:link w:val="10"/>
    <w:qFormat/>
    <w:uiPriority w:val="1"/>
    <w:rPr>
      <w:rFonts w:ascii="Times New Roman" w:hAnsi="Times New Roman" w:eastAsia="Times New Roman" w:cs="Times New Roman"/>
      <w:sz w:val="28"/>
      <w:szCs w:val="28"/>
    </w:rPr>
  </w:style>
  <w:style w:type="character" w:customStyle="1" w:styleId="50">
    <w:name w:val="Subtitle Char"/>
    <w:basedOn w:val="7"/>
    <w:link w:val="21"/>
    <w:qFormat/>
    <w:uiPriority w:val="11"/>
    <w:rPr>
      <w:rFonts w:eastAsia="Calibri" w:asciiTheme="majorBidi" w:hAnsiTheme="majorBidi" w:cstheme="majorBidi"/>
      <w:sz w:val="24"/>
      <w:szCs w:val="24"/>
    </w:rPr>
  </w:style>
  <w:style w:type="table" w:customStyle="1" w:styleId="51">
    <w:name w:val="Table Grid3"/>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4546</Words>
  <Characters>25914</Characters>
  <Lines>215</Lines>
  <Paragraphs>60</Paragraphs>
  <TotalTime>126</TotalTime>
  <ScaleCrop>false</ScaleCrop>
  <LinksUpToDate>false</LinksUpToDate>
  <CharactersWithSpaces>30400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2025-06-09T19:26:00Z</dcterms:created>
  <dc:creator>c.delivery for lap</dc:creator>
  <cp:lastModifiedBy>Menna</cp:lastModifiedBy>
  <dcterms:modified xsi:type="dcterms:W3CDTF">2025-07-07T23:33:04Z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C98637BD3FD843FFB5444EF24B6A48FF_12</vt:lpwstr>
  </property>
</Properties>
</file>